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Computer</w:t>
      </w:r>
      <w:r>
        <w:t xml:space="preserve"> </w:t>
      </w:r>
      <w:r>
        <w:t xml:space="preserve">Engineering</w:t>
      </w:r>
      <w:r>
        <w:t xml:space="preserve"> </w:t>
      </w:r>
      <w:r>
        <w:t xml:space="preserve">Services</w:t>
      </w:r>
      <w:r>
        <w:t xml:space="preserve"> </w:t>
      </w:r>
      <w:r>
        <w:t xml:space="preserve">-</w:t>
      </w:r>
      <w:r>
        <w:t xml:space="preserve"> </w:t>
      </w:r>
      <w:r>
        <w:t xml:space="preserve">Tehran,</w:t>
      </w:r>
      <w:r>
        <w:t xml:space="preserve"> </w:t>
      </w:r>
      <w:r>
        <w:t xml:space="preserve">Iran</w:t>
      </w:r>
    </w:p>
    <w:bookmarkStart w:id="20" w:name="tehran-advanced-computing-solutions"/>
    <w:p>
      <w:pPr>
        <w:pStyle w:val="Heading1"/>
      </w:pPr>
      <w:r>
        <w:t xml:space="preserve">Tehran Advanced Computing Solutions</w:t>
      </w:r>
    </w:p>
    <w:p>
      <w:pPr>
        <w:pStyle w:val="FirstParagraph"/>
      </w:pPr>
      <w:r>
        <w:rPr>
          <w:bCs/>
          <w:b/>
        </w:rPr>
        <w:t xml:space="preserve">Computer Engineering &amp; IT Infrastructure Services</w:t>
      </w:r>
    </w:p>
    <w:p>
      <w:pPr>
        <w:pStyle w:val="BodyText"/>
      </w:pPr>
      <w:r>
        <w:t xml:space="preserve">No. 42, Valiasr Street, Zone 6, Tehran, Iran</w:t>
      </w:r>
    </w:p>
    <w:p>
      <w:pPr>
        <w:pStyle w:val="BodyText"/>
      </w:pPr>
      <w:r>
        <w:t xml:space="preserve">Postal Code: 19697-65432</w:t>
      </w:r>
    </w:p>
    <w:p>
      <w:pPr>
        <w:pStyle w:val="BodyText"/>
      </w:pPr>
      <w:r>
        <w:t xml:space="preserve">Email: billing@tacstech.ir | Phone: +98 21 8877 6655</w:t>
      </w:r>
    </w:p>
    <w:p>
      <w:pPr>
        <w:pStyle w:val="BodyText"/>
      </w:pPr>
      <w:r>
        <w:t xml:space="preserve">National ID: 10108765432 | Tax ID: 41100000000000</w:t>
      </w:r>
    </w:p>
    <w:bookmarkEnd w:id="20"/>
    <w:bookmarkStart w:id="21" w:name="invoice"/>
    <w:p>
      <w:pPr>
        <w:pStyle w:val="Heading2"/>
      </w:pPr>
      <w:r>
        <w:t xml:space="preserve">INVOICE</w:t>
      </w:r>
    </w:p>
    <w:p>
      <w:pPr>
        <w:pStyle w:val="FirstParagraph"/>
      </w:pPr>
      <w:r>
        <w:t xml:space="preserve">Professional Services Statement</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Parsian Digital Industries Co.</w:t>
      </w:r>
    </w:p>
    <w:p>
      <w:pPr>
        <w:pStyle w:val="BodyText"/>
      </w:pPr>
      <w:r>
        <w:rPr>
          <w:bCs/>
          <w:b/>
        </w:rPr>
        <w:t xml:space="preserve">Address:</w:t>
      </w:r>
      <w:r>
        <w:t xml:space="preserve"> </w:t>
      </w:r>
      <w:r>
        <w:t xml:space="preserve">No. 15, Enghelab Avenue, Tehran, Iran</w:t>
      </w:r>
    </w:p>
    <w:p>
      <w:pPr>
        <w:pStyle w:val="BodyText"/>
      </w:pPr>
      <w:r>
        <w:rPr>
          <w:bCs/>
          <w:b/>
        </w:rPr>
        <w:t xml:space="preserve">Contact Person:</w:t>
      </w:r>
      <w:r>
        <w:t xml:space="preserve"> </w:t>
      </w:r>
      <w:r>
        <w:t xml:space="preserve">Mr. Ali Rezaei</w:t>
      </w:r>
    </w:p>
    <w:p>
      <w:pPr>
        <w:pStyle w:val="BodyText"/>
      </w:pPr>
      <w:r>
        <w:rPr>
          <w:bCs/>
          <w:b/>
        </w:rPr>
        <w:t xml:space="preserve">Email:</w:t>
      </w:r>
      <w:r>
        <w:t xml:space="preserve"> </w:t>
      </w:r>
      <w:r>
        <w:t xml:space="preserve">accounts@parsian-digital.ir</w:t>
      </w:r>
    </w:p>
    <w:p>
      <w:pPr>
        <w:pStyle w:val="BodyText"/>
      </w:pPr>
      <w:r>
        <w:rPr>
          <w:bCs/>
          <w:b/>
        </w:rPr>
        <w:t xml:space="preserve">Phone:</w:t>
      </w:r>
      <w:r>
        <w:t xml:space="preserve"> </w:t>
      </w:r>
      <w:r>
        <w:t xml:space="preserve">+98 21 7766 5544</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INV-2024-TEH-0892</w:t>
            </w:r>
          </w:p>
        </w:tc>
      </w:tr>
      <w:tr>
        <w:tc>
          <w:tcPr/>
          <w:p>
            <w:pPr>
              <w:pStyle w:val="Compact"/>
              <w:jc w:val="left"/>
            </w:pPr>
            <w:r>
              <w:t xml:space="preserve">Issue Date:</w:t>
            </w:r>
          </w:p>
        </w:tc>
        <w:tc>
          <w:tcPr/>
          <w:p>
            <w:pPr>
              <w:pStyle w:val="Compact"/>
              <w:jc w:val="left"/>
            </w:pPr>
            <w:r>
              <w:t xml:space="preserve">October 15, 2024</w:t>
            </w:r>
          </w:p>
        </w:tc>
      </w:tr>
      <w:tr>
        <w:tc>
          <w:tcPr/>
          <w:p>
            <w:pPr>
              <w:pStyle w:val="Compact"/>
              <w:jc w:val="left"/>
            </w:pPr>
            <w:r>
              <w:t xml:space="preserve">Due Date:</w:t>
            </w:r>
          </w:p>
        </w:tc>
        <w:tc>
          <w:tcPr/>
          <w:p>
            <w:pPr>
              <w:pStyle w:val="Compact"/>
              <w:jc w:val="left"/>
            </w:pPr>
            <w:r>
              <w:t xml:space="preserve">November 15, 2024</w:t>
            </w:r>
          </w:p>
        </w:tc>
      </w:tr>
      <w:tr>
        <w:tc>
          <w:tcPr/>
          <w:p>
            <w:pPr>
              <w:pStyle w:val="Compact"/>
              <w:jc w:val="left"/>
            </w:pPr>
            <w:r>
              <w:t xml:space="preserve">Service Period:</w:t>
            </w:r>
          </w:p>
        </w:tc>
        <w:tc>
          <w:tcPr/>
          <w:p>
            <w:pPr>
              <w:pStyle w:val="Compact"/>
              <w:jc w:val="left"/>
            </w:pPr>
            <w:r>
              <w:t xml:space="preserve">September 1 - October 14, 2024</w:t>
            </w:r>
          </w:p>
        </w:tc>
      </w:tr>
      <w:tr>
        <w:tc>
          <w:tcPr/>
          <w:p>
            <w:pPr>
              <w:pStyle w:val="Compact"/>
              <w:jc w:val="left"/>
            </w:pPr>
            <w:r>
              <w:t xml:space="preserve">Payment Terms:</w:t>
            </w:r>
          </w:p>
        </w:tc>
        <w:tc>
          <w:tcPr/>
          <w:p>
            <w:pPr>
              <w:pStyle w:val="Compact"/>
              <w:jc w:val="left"/>
            </w:pPr>
            <w:r>
              <w:t xml:space="preserve">Net 30 Days</w:t>
            </w:r>
          </w:p>
        </w:tc>
      </w:tr>
    </w:tbl>
    <w:bookmarkStart w:id="23" w:name="service-overview"/>
    <w:p>
      <w:pPr>
        <w:pStyle w:val="Heading3"/>
      </w:pPr>
      <w:r>
        <w:t xml:space="preserve">Service Overview</w:t>
      </w:r>
    </w:p>
    <w:p>
      <w:pPr>
        <w:pStyle w:val="FirstParagraph"/>
      </w:pPr>
      <w:r>
        <w:t xml:space="preserve">This invoice represents professional computer engineering services rendered by Tehran Advanced Computing Solutions to Parsian Digital Industries Co. in Tehran, Iran. The services encompass comprehensive system architecture design, network infrastructure optimization, cybersecurity implementation, and ongoing technical support. Our team of certified computer engineers has delivered these services in accordance with international standards and local regulations applicable in the Islamic Republic of Iran.</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Computer Engineering Services</w:t>
            </w:r>
          </w:p>
        </w:tc>
        <w:tc>
          <w:tcPr/>
          <w:p>
            <w:pPr>
              <w:pStyle w:val="Compact"/>
              <w:jc w:val="left"/>
            </w:pPr>
            <w:r>
              <w:t xml:space="preserve">Hours/Qty</w:t>
            </w:r>
          </w:p>
        </w:tc>
        <w:tc>
          <w:tcPr/>
          <w:p>
            <w:pPr>
              <w:pStyle w:val="Compact"/>
              <w:jc w:val="left"/>
            </w:pPr>
            <w:r>
              <w:t xml:space="preserve">Rate (IRR)</w:t>
            </w:r>
          </w:p>
        </w:tc>
        <w:tc>
          <w:tcPr/>
          <w:p>
            <w:pPr>
              <w:pStyle w:val="Compact"/>
              <w:jc w:val="left"/>
            </w:pPr>
            <w:r>
              <w:t xml:space="preserve">Amount (IRR)</w:t>
            </w:r>
          </w:p>
        </w:tc>
      </w:tr>
      <w:tr>
        <w:tc>
          <w:tcPr/>
          <w:p>
            <w:pPr>
              <w:pStyle w:val="Compact"/>
              <w:jc w:val="left"/>
            </w:pPr>
            <w:r>
              <w:t xml:space="preserve">1</w:t>
            </w:r>
          </w:p>
        </w:tc>
        <w:tc>
          <w:tcPr/>
          <w:p>
            <w:pPr>
              <w:pStyle w:val="Compact"/>
              <w:jc w:val="left"/>
            </w:pPr>
            <w:r>
              <w:rPr>
                <w:bCs/>
                <w:b/>
              </w:rPr>
              <w:t xml:space="preserve">Network Infrastructure Design &amp; Implementation</w:t>
            </w:r>
            <w:r>
              <w:br/>
            </w:r>
            <w:r>
              <w:t xml:space="preserve"> </w:t>
            </w:r>
            <w:r>
              <w:t xml:space="preserve">Comprehensive design and deployment of enterprise-grade network infrastructure including VLAN configuration, router setup, and switch management for the Tehran office headquarters.</w:t>
            </w:r>
            <w:r>
              <w:t xml:space="preserve"> </w:t>
            </w:r>
          </w:p>
        </w:tc>
        <w:tc>
          <w:tcPr/>
          <w:p>
            <w:pPr>
              <w:pStyle w:val="Compact"/>
              <w:jc w:val="left"/>
            </w:pPr>
            <w:r>
              <w:t xml:space="preserve">40</w:t>
            </w:r>
          </w:p>
        </w:tc>
        <w:tc>
          <w:tcPr/>
          <w:p>
            <w:pPr>
              <w:pStyle w:val="Compact"/>
              <w:jc w:val="left"/>
            </w:pPr>
            <w:r>
              <w:t xml:space="preserve">2,500,000</w:t>
            </w:r>
          </w:p>
        </w:tc>
        <w:tc>
          <w:tcPr/>
          <w:p>
            <w:pPr>
              <w:pStyle w:val="Compact"/>
              <w:jc w:val="left"/>
            </w:pPr>
            <w:r>
              <w:t xml:space="preserve">100,000,000</w:t>
            </w:r>
          </w:p>
        </w:tc>
      </w:tr>
      <w:tr>
        <w:tc>
          <w:tcPr/>
          <w:p>
            <w:pPr>
              <w:pStyle w:val="Compact"/>
              <w:jc w:val="left"/>
            </w:pPr>
            <w:r>
              <w:t xml:space="preserve">2</w:t>
            </w:r>
          </w:p>
        </w:tc>
        <w:tc>
          <w:tcPr/>
          <w:p>
            <w:pPr>
              <w:pStyle w:val="Compact"/>
              <w:jc w:val="left"/>
            </w:pPr>
            <w:r>
              <w:rPr>
                <w:bCs/>
                <w:b/>
              </w:rPr>
              <w:t xml:space="preserve">Cybersecurity Assessment &amp; Implementation</w:t>
            </w:r>
            <w:r>
              <w:br/>
            </w:r>
            <w:r>
              <w:t xml:space="preserve"> </w:t>
            </w:r>
            <w:r>
              <w:t xml:space="preserve">Security audit, firewall configuration, intrusion detection system setup, and employee security training conducted by senior computer engineers.</w:t>
            </w:r>
            <w:r>
              <w:t xml:space="preserve"> </w:t>
            </w:r>
          </w:p>
        </w:tc>
        <w:tc>
          <w:tcPr/>
          <w:p>
            <w:pPr>
              <w:pStyle w:val="Compact"/>
              <w:jc w:val="left"/>
            </w:pPr>
            <w:r>
              <w:t xml:space="preserve">32</w:t>
            </w:r>
          </w:p>
        </w:tc>
        <w:tc>
          <w:tcPr/>
          <w:p>
            <w:pPr>
              <w:pStyle w:val="Compact"/>
              <w:jc w:val="left"/>
            </w:pPr>
            <w:r>
              <w:t xml:space="preserve">3,000,000</w:t>
            </w:r>
          </w:p>
        </w:tc>
        <w:tc>
          <w:tcPr/>
          <w:p>
            <w:pPr>
              <w:pStyle w:val="Compact"/>
              <w:jc w:val="left"/>
            </w:pPr>
            <w:r>
              <w:t xml:space="preserve">96,000,000</w:t>
            </w:r>
          </w:p>
        </w:tc>
      </w:tr>
      <w:tr>
        <w:tc>
          <w:tcPr/>
          <w:p>
            <w:pPr>
              <w:pStyle w:val="Compact"/>
              <w:jc w:val="left"/>
            </w:pPr>
            <w:r>
              <w:t xml:space="preserve">3</w:t>
            </w:r>
          </w:p>
        </w:tc>
        <w:tc>
          <w:tcPr/>
          <w:p>
            <w:pPr>
              <w:pStyle w:val="Compact"/>
              <w:jc w:val="left"/>
            </w:pPr>
            <w:r>
              <w:rPr>
                <w:bCs/>
                <w:b/>
              </w:rPr>
              <w:t xml:space="preserve">Server Migration &amp; Cloud Integration</w:t>
            </w:r>
            <w:r>
              <w:br/>
            </w:r>
            <w:r>
              <w:t xml:space="preserve"> </w:t>
            </w:r>
            <w:r>
              <w:t xml:space="preserve">Migration of legacy systems to modern server infrastructure with hybrid cloud integration, ensuring minimal downtime and data integrity.</w:t>
            </w:r>
            <w:r>
              <w:t xml:space="preserve"> </w:t>
            </w:r>
          </w:p>
        </w:tc>
        <w:tc>
          <w:tcPr/>
          <w:p>
            <w:pPr>
              <w:pStyle w:val="Compact"/>
              <w:jc w:val="left"/>
            </w:pPr>
            <w:r>
              <w:t xml:space="preserve">28</w:t>
            </w:r>
          </w:p>
        </w:tc>
        <w:tc>
          <w:tcPr/>
          <w:p>
            <w:pPr>
              <w:pStyle w:val="Compact"/>
              <w:jc w:val="left"/>
            </w:pPr>
            <w:r>
              <w:t xml:space="preserve">2,800,000</w:t>
            </w:r>
          </w:p>
        </w:tc>
        <w:tc>
          <w:tcPr/>
          <w:p>
            <w:pPr>
              <w:pStyle w:val="Compact"/>
              <w:jc w:val="left"/>
            </w:pPr>
            <w:r>
              <w:t xml:space="preserve">78,400,000</w:t>
            </w:r>
          </w:p>
        </w:tc>
      </w:tr>
      <w:tr>
        <w:tc>
          <w:tcPr/>
          <w:p>
            <w:pPr>
              <w:pStyle w:val="Compact"/>
              <w:jc w:val="left"/>
            </w:pPr>
            <w:r>
              <w:t xml:space="preserve">4</w:t>
            </w:r>
          </w:p>
        </w:tc>
        <w:tc>
          <w:tcPr/>
          <w:p>
            <w:pPr>
              <w:pStyle w:val="Compact"/>
              <w:jc w:val="left"/>
            </w:pPr>
            <w:r>
              <w:rPr>
                <w:bCs/>
                <w:b/>
              </w:rPr>
              <w:t xml:space="preserve">Custom Software Development &amp; Integration</w:t>
            </w:r>
            <w:r>
              <w:br/>
            </w:r>
            <w:r>
              <w:t xml:space="preserve"> </w:t>
            </w:r>
            <w:r>
              <w:t xml:space="preserve">Development of internal management tools and API integration with existing business systems by our software engineering team.</w:t>
            </w:r>
            <w:r>
              <w:t xml:space="preserve"> </w:t>
            </w:r>
          </w:p>
        </w:tc>
        <w:tc>
          <w:tcPr/>
          <w:p>
            <w:pPr>
              <w:pStyle w:val="Compact"/>
              <w:jc w:val="left"/>
            </w:pPr>
            <w:r>
              <w:t xml:space="preserve">56</w:t>
            </w:r>
          </w:p>
        </w:tc>
        <w:tc>
          <w:tcPr/>
          <w:p>
            <w:pPr>
              <w:pStyle w:val="Compact"/>
              <w:jc w:val="left"/>
            </w:pPr>
            <w:r>
              <w:t xml:space="preserve">2,200,000</w:t>
            </w:r>
          </w:p>
        </w:tc>
        <w:tc>
          <w:tcPr/>
          <w:p>
            <w:pPr>
              <w:pStyle w:val="Compact"/>
              <w:jc w:val="left"/>
            </w:pPr>
            <w:r>
              <w:t xml:space="preserve">123,200,000</w:t>
            </w:r>
          </w:p>
        </w:tc>
      </w:tr>
      <w:tr>
        <w:tc>
          <w:tcPr/>
          <w:p>
            <w:pPr>
              <w:pStyle w:val="Compact"/>
              <w:jc w:val="left"/>
            </w:pPr>
            <w:r>
              <w:t xml:space="preserve">5</w:t>
            </w:r>
          </w:p>
        </w:tc>
        <w:tc>
          <w:tcPr/>
          <w:p>
            <w:pPr>
              <w:pStyle w:val="Compact"/>
              <w:jc w:val="left"/>
            </w:pPr>
            <w:r>
              <w:rPr>
                <w:bCs/>
                <w:b/>
              </w:rPr>
              <w:t xml:space="preserve">Technical Support &amp; Maintenance</w:t>
            </w:r>
            <w:r>
              <w:br/>
            </w:r>
            <w:r>
              <w:t xml:space="preserve"> </w:t>
            </w:r>
            <w:r>
              <w:t xml:space="preserve">Ongoing technical support, system monitoring, troubleshooting, and preventive maintenance services for all IT infrastructure.</w:t>
            </w:r>
            <w:r>
              <w:t xml:space="preserve"> </w:t>
            </w:r>
          </w:p>
        </w:tc>
        <w:tc>
          <w:tcPr/>
          <w:p>
            <w:pPr>
              <w:pStyle w:val="Compact"/>
              <w:jc w:val="left"/>
            </w:pPr>
            <w:r>
              <w:t xml:space="preserve">24</w:t>
            </w:r>
          </w:p>
        </w:tc>
        <w:tc>
          <w:tcPr/>
          <w:p>
            <w:pPr>
              <w:pStyle w:val="Compact"/>
              <w:jc w:val="left"/>
            </w:pPr>
            <w:r>
              <w:t xml:space="preserve">1,800,000</w:t>
            </w:r>
          </w:p>
        </w:tc>
        <w:tc>
          <w:tcPr/>
          <w:p>
            <w:pPr>
              <w:pStyle w:val="Compact"/>
              <w:jc w:val="left"/>
            </w:pPr>
            <w:r>
              <w:t xml:space="preserve">43,200,000</w:t>
            </w:r>
          </w:p>
        </w:tc>
      </w:tr>
      <w:tr>
        <w:tc>
          <w:tcPr/>
          <w:p>
            <w:pPr>
              <w:pStyle w:val="Compact"/>
              <w:jc w:val="left"/>
            </w:pPr>
            <w:r>
              <w:t xml:space="preserve">6</w:t>
            </w:r>
          </w:p>
        </w:tc>
        <w:tc>
          <w:tcPr/>
          <w:p>
            <w:pPr>
              <w:pStyle w:val="Compact"/>
              <w:jc w:val="left"/>
            </w:pPr>
            <w:r>
              <w:rPr>
                <w:bCs/>
                <w:b/>
              </w:rPr>
              <w:t xml:space="preserve">Hardware Procurement &amp; Installation</w:t>
            </w:r>
            <w:r>
              <w:br/>
            </w:r>
            <w:r>
              <w:t xml:space="preserve"> </w:t>
            </w:r>
            <w:r>
              <w:t xml:space="preserve">Sourcing, procurement, and installation of networking equipment, servers, and workstations from approved suppliers in Tehran.</w:t>
            </w:r>
            <w:r>
              <w:t xml:space="preserve"> </w:t>
            </w:r>
          </w:p>
        </w:tc>
        <w:tc>
          <w:tcPr/>
          <w:p>
            <w:pPr>
              <w:pStyle w:val="Compact"/>
              <w:jc w:val="left"/>
            </w:pPr>
            <w:r>
              <w:t xml:space="preserve">1</w:t>
            </w:r>
          </w:p>
        </w:tc>
        <w:tc>
          <w:tcPr/>
          <w:p>
            <w:pPr>
              <w:pStyle w:val="Compact"/>
              <w:jc w:val="left"/>
            </w:pPr>
            <w:r>
              <w:t xml:space="preserve">150,000,000</w:t>
            </w:r>
          </w:p>
        </w:tc>
        <w:tc>
          <w:tcPr/>
          <w:p>
            <w:pPr>
              <w:pStyle w:val="Compact"/>
              <w:jc w:val="left"/>
            </w:pPr>
            <w:r>
              <w:t xml:space="preserve">150,000,000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590,800,000 IRR</w:t>
            </w:r>
          </w:p>
        </w:tc>
      </w:tr>
      <w:tr>
        <w:tc>
          <w:tcPr/>
          <w:p>
            <w:pPr>
              <w:pStyle w:val="Compact"/>
              <w:jc w:val="left"/>
            </w:pPr>
            <w:r>
              <w:t xml:space="preserve">Value Added Tax (9%):</w:t>
            </w:r>
          </w:p>
        </w:tc>
        <w:tc>
          <w:tcPr/>
          <w:p>
            <w:pPr>
              <w:pStyle w:val="Compact"/>
              <w:jc w:val="left"/>
            </w:pPr>
            <w:r>
              <w:t xml:space="preserve">53,172,000 IRR</w:t>
            </w:r>
          </w:p>
        </w:tc>
      </w:tr>
      <w:tr>
        <w:tc>
          <w:tcPr/>
          <w:p>
            <w:pPr>
              <w:pStyle w:val="Compact"/>
              <w:jc w:val="left"/>
            </w:pPr>
            <w:r>
              <w:t xml:space="preserve">Discount (Early Payment):</w:t>
            </w:r>
          </w:p>
        </w:tc>
        <w:tc>
          <w:tcPr/>
          <w:p>
            <w:pPr>
              <w:pStyle w:val="Compact"/>
              <w:jc w:val="left"/>
            </w:pPr>
            <w:r>
              <w:t xml:space="preserve">-10,000,000 IRR</w:t>
            </w:r>
          </w:p>
        </w:tc>
      </w:tr>
      <w:tr>
        <w:tc>
          <w:tcPr/>
          <w:p>
            <w:pPr>
              <w:pStyle w:val="Compact"/>
              <w:jc w:val="left"/>
            </w:pPr>
            <w:r>
              <w:t xml:space="preserve">Grand Total:</w:t>
            </w:r>
          </w:p>
        </w:tc>
        <w:tc>
          <w:tcPr/>
          <w:p>
            <w:pPr>
              <w:pStyle w:val="Compact"/>
              <w:jc w:val="left"/>
            </w:pPr>
            <w:r>
              <w:t xml:space="preserve">633,972,000 IRR</w:t>
            </w:r>
          </w:p>
        </w:tc>
      </w:tr>
    </w:tbl>
    <w:p>
      <w:pPr>
        <w:pStyle w:val="BodyText"/>
      </w:pPr>
      <w:r>
        <w:rPr>
          <w:bCs/>
          <w:b/>
        </w:rPr>
        <w:t xml:space="preserve">Amount in Words:</w:t>
      </w:r>
      <w:r>
        <w:t xml:space="preserve"> </w:t>
      </w:r>
      <w:r>
        <w:t xml:space="preserve">Six Hundred Thirty-Three Million Nine Hundred Seventy-Two Thousand Iranian Rials</w:t>
      </w:r>
    </w:p>
    <w:bookmarkStart w:id="24" w:name="payment-instructions"/>
    <w:p>
      <w:pPr>
        <w:pStyle w:val="Heading3"/>
      </w:pPr>
      <w:r>
        <w:t xml:space="preserve">Payment Instructions</w:t>
      </w:r>
    </w:p>
    <w:p>
      <w:pPr>
        <w:pStyle w:val="FirstParagraph"/>
      </w:pPr>
      <w:r>
        <w:t xml:space="preserve">Please remit payment via bank transfer to the following account within 30 days of the invoice date:</w:t>
      </w:r>
    </w:p>
    <w:p>
      <w:pPr>
        <w:pStyle w:val="BodyText"/>
      </w:pPr>
      <w:r>
        <w:rPr>
          <w:bCs/>
          <w:b/>
        </w:rPr>
        <w:t xml:space="preserve">Bank Name:</w:t>
      </w:r>
      <w:r>
        <w:t xml:space="preserve"> </w:t>
      </w:r>
      <w:r>
        <w:t xml:space="preserve">Bank Melli Iran</w:t>
      </w:r>
      <w:r>
        <w:br/>
      </w:r>
      <w:r>
        <w:rPr>
          <w:bCs/>
          <w:b/>
        </w:rPr>
        <w:t xml:space="preserve">Branch:</w:t>
      </w:r>
      <w:r>
        <w:t xml:space="preserve"> </w:t>
      </w:r>
      <w:r>
        <w:t xml:space="preserve">Valiasr Branch, Tehran</w:t>
      </w:r>
      <w:r>
        <w:br/>
      </w:r>
      <w:r>
        <w:rPr>
          <w:bCs/>
          <w:b/>
        </w:rPr>
        <w:t xml:space="preserve">Account Name:</w:t>
      </w:r>
      <w:r>
        <w:t xml:space="preserve"> </w:t>
      </w:r>
      <w:r>
        <w:t xml:space="preserve">Tehran Advanced Computing Solutions Co.</w:t>
      </w:r>
      <w:r>
        <w:br/>
      </w:r>
      <w:r>
        <w:rPr>
          <w:bCs/>
          <w:b/>
        </w:rPr>
        <w:t xml:space="preserve">IBAN:</w:t>
      </w:r>
      <w:r>
        <w:t xml:space="preserve"> </w:t>
      </w:r>
      <w:r>
        <w:t xml:space="preserve">IR000660100000000000000000</w:t>
      </w:r>
      <w:r>
        <w:br/>
      </w:r>
      <w:r>
        <w:rPr>
          <w:bCs/>
          <w:b/>
        </w:rPr>
        <w:t xml:space="preserve">SWIFT Code:</w:t>
      </w:r>
      <w:r>
        <w:t xml:space="preserve"> </w:t>
      </w:r>
      <w:r>
        <w:t xml:space="preserve">MELLIRTH</w:t>
      </w:r>
    </w:p>
    <w:bookmarkEnd w:id="24"/>
    <w:bookmarkStart w:id="25" w:name="terms-and-conditions"/>
    <w:p>
      <w:pPr>
        <w:pStyle w:val="Heading3"/>
      </w:pPr>
      <w:r>
        <w:t xml:space="preserve">Terms and Conditions</w:t>
      </w:r>
    </w:p>
    <w:p>
      <w:pPr>
        <w:numPr>
          <w:ilvl w:val="0"/>
          <w:numId w:val="1001"/>
        </w:numPr>
        <w:pStyle w:val="Compact"/>
      </w:pPr>
      <w:r>
        <w:t xml:space="preserve">All services are provided by qualified computer engineers certified in relevant technologies.</w:t>
      </w:r>
    </w:p>
    <w:p>
      <w:pPr>
        <w:numPr>
          <w:ilvl w:val="0"/>
          <w:numId w:val="1001"/>
        </w:numPr>
        <w:pStyle w:val="Compact"/>
      </w:pPr>
      <w:r>
        <w:t xml:space="preserve">Payment is due within 30 days of the invoice date. Late payments may incur a 2% monthly interest charge.</w:t>
      </w:r>
    </w:p>
    <w:p>
      <w:pPr>
        <w:numPr>
          <w:ilvl w:val="0"/>
          <w:numId w:val="1001"/>
        </w:numPr>
        <w:pStyle w:val="Compact"/>
      </w:pPr>
      <w:r>
        <w:t xml:space="preserve">All work is performed in accordance with Iranian commercial laws and international engineering standards.</w:t>
      </w:r>
    </w:p>
    <w:p>
      <w:pPr>
        <w:numPr>
          <w:ilvl w:val="0"/>
          <w:numId w:val="1001"/>
        </w:numPr>
        <w:pStyle w:val="Compact"/>
      </w:pPr>
      <w:r>
        <w:t xml:space="preserve">Hardware warranties are provided by respective manufacturers and are transferable to the client.</w:t>
      </w:r>
    </w:p>
    <w:p>
      <w:pPr>
        <w:numPr>
          <w:ilvl w:val="0"/>
          <w:numId w:val="1001"/>
        </w:numPr>
        <w:pStyle w:val="Compact"/>
      </w:pPr>
      <w:r>
        <w:t xml:space="preserve">Any disputes arising from this invoice shall be resolved through negotiation in Tehran, Iran.</w:t>
      </w:r>
    </w:p>
    <w:p>
      <w:pPr>
        <w:numPr>
          <w:ilvl w:val="0"/>
          <w:numId w:val="1001"/>
        </w:numPr>
        <w:pStyle w:val="Compact"/>
      </w:pPr>
      <w:r>
        <w:t xml:space="preserve">This invoice is valid for tax purposes in the Islamic Republic of Iran.</w:t>
      </w:r>
    </w:p>
    <w:p>
      <w:pPr>
        <w:numPr>
          <w:ilvl w:val="0"/>
          <w:numId w:val="1001"/>
        </w:numPr>
        <w:pStyle w:val="Compact"/>
      </w:pPr>
      <w:r>
        <w:t xml:space="preserve">Confidentiality agreements apply to all proprietary information shared during service delivery.</w:t>
      </w:r>
    </w:p>
    <w:p>
      <w:pPr>
        <w:numPr>
          <w:ilvl w:val="0"/>
          <w:numId w:val="1001"/>
        </w:numPr>
        <w:pStyle w:val="Compact"/>
      </w:pPr>
      <w:r>
        <w:t xml:space="preserve">Additional services beyond the scope of this invoice will be billed separately with prior approval.</w:t>
      </w:r>
    </w:p>
    <w:bookmarkEnd w:id="25"/>
    <w:bookmarkStart w:id="26" w:name="additional-notes"/>
    <w:p>
      <w:pPr>
        <w:pStyle w:val="Heading3"/>
      </w:pPr>
      <w:r>
        <w:t xml:space="preserve">Additional Notes</w:t>
      </w:r>
    </w:p>
    <w:p>
      <w:pPr>
        <w:pStyle w:val="FirstParagraph"/>
      </w:pPr>
      <w:r>
        <w:t xml:space="preserve">We appreciate your business and trust in our computer engineering expertise. Our team is committed to delivering high-quality IT solutions tailored to your organization's needs in Tehran and throughout Iran. For any questions regarding this invoice or the services provided, please contact our billing department at billing@tacstech.ir or call +98 21 8877 6655.</w:t>
      </w:r>
    </w:p>
    <w:bookmarkEnd w:id="26"/>
    <w:p>
      <w:pPr>
        <w:pStyle w:val="BodyText"/>
      </w:pPr>
      <w:r>
        <w:rPr>
          <w:bCs/>
          <w:b/>
        </w:rPr>
        <w:t xml:space="preserve">Authorized Signature</w:t>
      </w:r>
    </w:p>
    <w:p>
      <w:pPr>
        <w:pStyle w:val="BodyText"/>
      </w:pPr>
      <w:r>
        <w:t xml:space="preserve">Tehran Advanced Computing Solutions</w:t>
      </w:r>
    </w:p>
    <w:p>
      <w:pPr>
        <w:pStyle w:val="BodyText"/>
      </w:pPr>
      <w:r>
        <w:t xml:space="preserve">Computer Engineering Department</w:t>
      </w:r>
    </w:p>
    <w:p>
      <w:pPr>
        <w:pStyle w:val="BodyText"/>
      </w:pPr>
      <w:r>
        <w:rPr>
          <w:bCs/>
          <w:b/>
        </w:rPr>
        <w:t xml:space="preserve">Client Acceptance</w:t>
      </w:r>
    </w:p>
    <w:p>
      <w:pPr>
        <w:pStyle w:val="BodyText"/>
      </w:pPr>
      <w:r>
        <w:t xml:space="preserve">Parsian Digital Industries Co.</w:t>
      </w:r>
    </w:p>
    <w:p>
      <w:pPr>
        <w:pStyle w:val="BodyText"/>
      </w:pPr>
      <w:r>
        <w:t xml:space="preserve">Date: _______________</w:t>
      </w:r>
    </w:p>
    <w:p>
      <w:pPr>
        <w:pStyle w:val="BodyText"/>
      </w:pPr>
      <w:r>
        <w:t xml:space="preserve">Tehran Advanced Computing Solutions | Professional Computer Engineering Services in Tehran, Iran</w:t>
      </w:r>
      <w:r>
        <w:br/>
      </w:r>
      <w:r>
        <w:t xml:space="preserve">This invoice is generated electronically and is legally binding. | Document ID: INV-2024-TEH-0892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Computer Engineering Services - Tehran, Iran</dc:title>
  <dc:creator/>
  <dc:language>en</dc:language>
  <cp:keywords/>
  <dcterms:created xsi:type="dcterms:W3CDTF">2026-10-10T01:41:43Z</dcterms:created>
  <dcterms:modified xsi:type="dcterms:W3CDTF">2026-10-10T01:41:43Z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