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frankfurt-educational-solutions-gmbh"/>
    <w:p>
      <w:pPr>
        <w:pStyle w:val="Heading1"/>
      </w:pPr>
      <w:r>
        <w:t xml:space="preserve">Frankfurt Educational Solutions GmbH</w:t>
      </w:r>
    </w:p>
    <w:p>
      <w:pPr>
        <w:pStyle w:val="FirstParagraph"/>
      </w:pPr>
      <w:r>
        <w:t xml:space="preserve">Curriculum Developer &amp; Instructional Design Services</w:t>
      </w:r>
    </w:p>
    <w:p>
      <w:pPr>
        <w:pStyle w:val="BodyText"/>
      </w:pPr>
      <w:r>
        <w:t xml:space="preserve">Mainzer Landstraße 142, 60329 Frankfurt am Main, Germany</w:t>
      </w:r>
    </w:p>
    <w:p>
      <w:pPr>
        <w:pStyle w:val="BodyText"/>
      </w:pPr>
      <w:r>
        <w:t xml:space="preserve">Phone: +49 69 4455 6677 | Email: billing@frankfurt-edusolutions.de</w:t>
      </w:r>
    </w:p>
    <w:p>
      <w:pPr>
        <w:pStyle w:val="BodyText"/>
      </w:pPr>
      <w:r>
        <w:t xml:space="preserve">USt-IdNr.: DE 312 456 789</w:t>
      </w:r>
    </w:p>
    <w:bookmarkEnd w:id="20"/>
    <w:p>
      <w:pPr>
        <w:pStyle w:val="BodyText"/>
      </w:pPr>
      <w:r>
        <w:t xml:space="preserve">Official Invoice</w:t>
      </w:r>
    </w:p>
    <w:bookmarkStart w:id="21" w:name="invoice"/>
    <w:p>
      <w:pPr>
        <w:pStyle w:val="Heading2"/>
      </w:pPr>
      <w:r>
        <w:t xml:space="preserve">INVOICE</w:t>
      </w:r>
    </w:p>
    <w:p>
      <w:pPr>
        <w:pStyle w:val="FirstParagraph"/>
      </w:pPr>
      <w:r>
        <w:t xml:space="preserve">Invoice No.: INV-2025-FRA-00472</w:t>
      </w:r>
    </w:p>
    <w:p>
      <w:pPr>
        <w:pStyle w:val="BodyText"/>
      </w:pPr>
      <w:r>
        <w:t xml:space="preserve">Date of Issue: 15 June 2025</w:t>
      </w:r>
    </w:p>
    <w:p>
      <w:pPr>
        <w:pStyle w:val="BodyText"/>
      </w:pPr>
      <w:r>
        <w:t xml:space="preserve">Due Date: 15 July 2025</w:t>
      </w:r>
    </w:p>
    <w:bookmarkEnd w:id="21"/>
    <w:bookmarkStart w:id="22" w:name="billed-to-client"/>
    <w:p>
      <w:pPr>
        <w:pStyle w:val="Heading3"/>
      </w:pPr>
      <w:r>
        <w:t xml:space="preserve">Billed To (Client)</w:t>
      </w:r>
    </w:p>
    <w:p>
      <w:pPr>
        <w:pStyle w:val="FirstParagraph"/>
      </w:pPr>
      <w:r>
        <w:rPr>
          <w:bCs/>
          <w:b/>
        </w:rPr>
        <w:t xml:space="preserve">Goethe Professional Academy</w:t>
      </w:r>
    </w:p>
    <w:p>
      <w:pPr>
        <w:pStyle w:val="BodyText"/>
      </w:pPr>
      <w:r>
        <w:t xml:space="preserve">Attn: Dr. Helena Brandt, Director of Academic Affairs</w:t>
      </w:r>
    </w:p>
    <w:p>
      <w:pPr>
        <w:pStyle w:val="BodyText"/>
      </w:pPr>
      <w:r>
        <w:t xml:space="preserve">Bockenheimer Landstraße 88</w:t>
      </w:r>
    </w:p>
    <w:p>
      <w:pPr>
        <w:pStyle w:val="BodyText"/>
      </w:pPr>
      <w:r>
        <w:t xml:space="preserve">60323 Frankfurt am Main, Germany</w:t>
      </w:r>
    </w:p>
    <w:p>
      <w:pPr>
        <w:pStyle w:val="BodyText"/>
      </w:pPr>
      <w:r>
        <w:t xml:space="preserve">VAT ID: DE 298 765 431</w:t>
      </w:r>
    </w:p>
    <w:bookmarkEnd w:id="22"/>
    <w:bookmarkStart w:id="23" w:name="service-provider"/>
    <w:p>
      <w:pPr>
        <w:pStyle w:val="Heading3"/>
      </w:pPr>
      <w:r>
        <w:t xml:space="preserve">Service Provider</w:t>
      </w:r>
    </w:p>
    <w:p>
      <w:pPr>
        <w:pStyle w:val="FirstParagraph"/>
      </w:pPr>
      <w:r>
        <w:rPr>
          <w:bCs/>
          <w:b/>
        </w:rPr>
        <w:t xml:space="preserve">Frankfurt Educational Solutions GmbH</w:t>
      </w:r>
    </w:p>
    <w:p>
      <w:pPr>
        <w:pStyle w:val="BodyText"/>
      </w:pPr>
      <w:r>
        <w:t xml:space="preserve">Lead Curriculum Developer: Prof. Markus Steinbach</w:t>
      </w:r>
    </w:p>
    <w:p>
      <w:pPr>
        <w:pStyle w:val="BodyText"/>
      </w:pPr>
      <w:r>
        <w:t xml:space="preserve">Specialization: Higher Education &amp; Vocational Training</w:t>
      </w:r>
    </w:p>
    <w:p>
      <w:pPr>
        <w:pStyle w:val="BodyText"/>
      </w:pPr>
      <w:r>
        <w:t xml:space="preserve">Location: Frankfurt am Main, Germany</w:t>
      </w:r>
    </w:p>
    <w:p>
      <w:pPr>
        <w:pStyle w:val="BodyText"/>
      </w:pPr>
      <w:r>
        <w:t xml:space="preserve">Registration: HRB 45218, Amtsgericht Frankfurt am Main</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Curriculum Developer Services</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Comprehensive Curriculum Development for the Advanced Business German Programme – Initial needs analysis, learning outcome mapping, and modular structure design conducted in Frankfurt am Main, Germany.</w:t>
            </w:r>
          </w:p>
        </w:tc>
        <w:tc>
          <w:tcPr/>
          <w:p>
            <w:pPr>
              <w:pStyle w:val="Compact"/>
              <w:jc w:val="left"/>
            </w:pPr>
            <w:r>
              <w:t xml:space="preserve">48 hours</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02</w:t>
            </w:r>
          </w:p>
        </w:tc>
        <w:tc>
          <w:tcPr/>
          <w:p>
            <w:pPr>
              <w:pStyle w:val="Compact"/>
              <w:jc w:val="left"/>
            </w:pPr>
            <w:r>
              <w:t xml:space="preserve">Instructional Material Development – Creation of 120+ lesson plans, assessment rubrics, and digital learning resources aligned with the German Qualifications Framework (DQR) for the Curriculum Developer engagement.</w:t>
            </w:r>
          </w:p>
        </w:tc>
        <w:tc>
          <w:tcPr/>
          <w:p>
            <w:pPr>
              <w:pStyle w:val="Compact"/>
              <w:jc w:val="left"/>
            </w:pPr>
            <w:r>
              <w:t xml:space="preserve">72 hours</w:t>
            </w:r>
          </w:p>
        </w:tc>
        <w:tc>
          <w:tcPr/>
          <w:p>
            <w:pPr>
              <w:pStyle w:val="Compact"/>
              <w:jc w:val="left"/>
            </w:pPr>
            <w:r>
              <w:t xml:space="preserve">€95.00</w:t>
            </w:r>
          </w:p>
        </w:tc>
        <w:tc>
          <w:tcPr/>
          <w:p>
            <w:pPr>
              <w:pStyle w:val="Compact"/>
              <w:jc w:val="left"/>
            </w:pPr>
            <w:r>
              <w:t xml:space="preserve">€6,840.00</w:t>
            </w:r>
          </w:p>
        </w:tc>
      </w:tr>
      <w:tr>
        <w:tc>
          <w:tcPr/>
          <w:p>
            <w:pPr>
              <w:pStyle w:val="Compact"/>
              <w:jc w:val="left"/>
            </w:pPr>
            <w:r>
              <w:t xml:space="preserve">03</w:t>
            </w:r>
          </w:p>
        </w:tc>
        <w:tc>
          <w:tcPr/>
          <w:p>
            <w:pPr>
              <w:pStyle w:val="Compact"/>
              <w:jc w:val="left"/>
            </w:pPr>
            <w:r>
              <w:t xml:space="preserve">Curriculum Review &amp; Accreditation Support – Preparation of documentation for the Accreditation Council of the German Federal States (AkkrH) and alignment with Frankfurt-based institutional standards.</w:t>
            </w:r>
          </w:p>
        </w:tc>
        <w:tc>
          <w:tcPr/>
          <w:p>
            <w:pPr>
              <w:pStyle w:val="Compact"/>
              <w:jc w:val="left"/>
            </w:pPr>
            <w:r>
              <w:t xml:space="preserve">36 hours</w:t>
            </w:r>
          </w:p>
        </w:tc>
        <w:tc>
          <w:tcPr/>
          <w:p>
            <w:pPr>
              <w:pStyle w:val="Compact"/>
              <w:jc w:val="left"/>
            </w:pPr>
            <w:r>
              <w:t xml:space="preserve">€110.00</w:t>
            </w:r>
          </w:p>
        </w:tc>
        <w:tc>
          <w:tcPr/>
          <w:p>
            <w:pPr>
              <w:pStyle w:val="Compact"/>
              <w:jc w:val="left"/>
            </w:pPr>
            <w:r>
              <w:t xml:space="preserve">€3,960.00</w:t>
            </w:r>
          </w:p>
        </w:tc>
      </w:tr>
      <w:tr>
        <w:tc>
          <w:tcPr/>
          <w:p>
            <w:pPr>
              <w:pStyle w:val="Compact"/>
              <w:jc w:val="left"/>
            </w:pPr>
            <w:r>
              <w:t xml:space="preserve">04</w:t>
            </w:r>
          </w:p>
        </w:tc>
        <w:tc>
          <w:tcPr/>
          <w:p>
            <w:pPr>
              <w:pStyle w:val="Compact"/>
              <w:jc w:val="left"/>
            </w:pPr>
            <w:r>
              <w:t xml:space="preserve">Faculty Training Workshop – On-site delivery of a two-day workshop in Frankfurt, Germany, training 18 instructors on the newly developed curriculum framework and pedagogical methodology.</w:t>
            </w:r>
          </w:p>
        </w:tc>
        <w:tc>
          <w:tcPr/>
          <w:p>
            <w:pPr>
              <w:pStyle w:val="Compact"/>
              <w:jc w:val="left"/>
            </w:pPr>
            <w:r>
              <w:t xml:space="preserve">16 hours</w:t>
            </w:r>
          </w:p>
        </w:tc>
        <w:tc>
          <w:tcPr/>
          <w:p>
            <w:pPr>
              <w:pStyle w:val="Compact"/>
              <w:jc w:val="left"/>
            </w:pPr>
            <w:r>
              <w:t xml:space="preserve">€120.00</w:t>
            </w:r>
          </w:p>
        </w:tc>
        <w:tc>
          <w:tcPr/>
          <w:p>
            <w:pPr>
              <w:pStyle w:val="Compact"/>
              <w:jc w:val="left"/>
            </w:pPr>
            <w:r>
              <w:t xml:space="preserve">€1,920.00</w:t>
            </w:r>
          </w:p>
        </w:tc>
      </w:tr>
      <w:tr>
        <w:tc>
          <w:tcPr/>
          <w:p>
            <w:pPr>
              <w:pStyle w:val="Compact"/>
              <w:jc w:val="left"/>
            </w:pPr>
            <w:r>
              <w:t xml:space="preserve">05</w:t>
            </w:r>
          </w:p>
        </w:tc>
        <w:tc>
          <w:tcPr/>
          <w:p>
            <w:pPr>
              <w:pStyle w:val="Compact"/>
              <w:jc w:val="left"/>
            </w:pPr>
            <w:r>
              <w:t xml:space="preserve">Ongoing Curriculum Maintenance &amp; Advisory – Quarterly review cycles, continuous improvement recommendations, and regulatory compliance monitoring for the academic year 2025/2026 in Germany.</w:t>
            </w:r>
          </w:p>
        </w:tc>
        <w:tc>
          <w:tcPr/>
          <w:p>
            <w:pPr>
              <w:pStyle w:val="Compact"/>
              <w:jc w:val="left"/>
            </w:pPr>
            <w:r>
              <w:t xml:space="preserve">40 hours</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06</w:t>
            </w:r>
          </w:p>
        </w:tc>
        <w:tc>
          <w:tcPr/>
          <w:p>
            <w:pPr>
              <w:pStyle w:val="Compact"/>
              <w:jc w:val="left"/>
            </w:pPr>
            <w:r>
              <w:t xml:space="preserve">Digital Learning Platform Integration – Configuration and content upload of the Curriculum Developer's materials into the client's LMS (Moodle) hosted in Frankfurt, Germany, including accessibility compliance per German digital education standards.</w:t>
            </w:r>
          </w:p>
        </w:tc>
        <w:tc>
          <w:tcPr/>
          <w:p>
            <w:pPr>
              <w:pStyle w:val="Compact"/>
              <w:jc w:val="left"/>
            </w:pPr>
            <w:r>
              <w:t xml:space="preserve">24 hours</w:t>
            </w:r>
          </w:p>
        </w:tc>
        <w:tc>
          <w:tcPr/>
          <w:p>
            <w:pPr>
              <w:pStyle w:val="Compact"/>
              <w:jc w:val="left"/>
            </w:pPr>
            <w:r>
              <w:t xml:space="preserve">€100.00</w:t>
            </w:r>
          </w:p>
        </w:tc>
        <w:tc>
          <w:tcPr/>
          <w:p>
            <w:pPr>
              <w:pStyle w:val="Compact"/>
              <w:jc w:val="left"/>
            </w:pPr>
            <w:r>
              <w:t xml:space="preserve">€2,400.00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€23,080.00</w:t>
            </w:r>
          </w:p>
        </w:tc>
      </w:tr>
      <w:tr>
        <w:tc>
          <w:tcPr/>
          <w:p>
            <w:pPr>
              <w:pStyle w:val="Compact"/>
              <w:jc w:val="left"/>
            </w:pPr>
            <w:r>
              <w:t xml:space="preserve">VAT (19% – Germany)</w:t>
            </w:r>
          </w:p>
        </w:tc>
        <w:tc>
          <w:tcPr/>
          <w:p>
            <w:pPr>
              <w:pStyle w:val="Compact"/>
              <w:jc w:val="right"/>
            </w:pPr>
            <w:r>
              <w:t xml:space="preserve">€4,385.20</w:t>
            </w:r>
          </w:p>
        </w:tc>
      </w:tr>
      <w:tr>
        <w:tc>
          <w:tcPr/>
          <w:p>
            <w:pPr>
              <w:pStyle w:val="Compact"/>
              <w:jc w:val="left"/>
            </w:pPr>
            <w:r>
              <w:t xml:space="preserve">Total Amount Due</w:t>
            </w:r>
          </w:p>
        </w:tc>
        <w:tc>
          <w:tcPr/>
          <w:p>
            <w:pPr>
              <w:pStyle w:val="Compact"/>
              <w:jc w:val="right"/>
            </w:pPr>
            <w:r>
              <w:t xml:space="preserve">€27,465.20</w:t>
            </w:r>
          </w:p>
        </w:tc>
      </w:tr>
    </w:tbl>
    <w:bookmarkStart w:id="24" w:name="payment-terms-invoice-conditions"/>
    <w:p>
      <w:pPr>
        <w:pStyle w:val="Heading3"/>
      </w:pPr>
      <w:r>
        <w:t xml:space="preserve">Payment Terms &amp; Invoice Conditions</w:t>
      </w:r>
    </w:p>
    <w:p>
      <w:pPr>
        <w:pStyle w:val="FirstParagraph"/>
      </w:pPr>
      <w:r>
        <w:t xml:space="preserve">This Invoice is issued in accordance with the German Commercial Code (HGB) and applicable tax regulations of the Federal Republic of Germany. The total amount of</w:t>
      </w:r>
      <w:r>
        <w:t xml:space="preserve"> </w:t>
      </w:r>
      <w:r>
        <w:rPr>
          <w:bCs/>
          <w:b/>
        </w:rPr>
        <w:t xml:space="preserve">€27,465.20</w:t>
      </w:r>
      <w:r>
        <w:t xml:space="preserve"> </w:t>
      </w:r>
      <w:r>
        <w:t xml:space="preserve">is due within 30 calendar days from the date of issue, no later than</w:t>
      </w:r>
      <w:r>
        <w:t xml:space="preserve"> </w:t>
      </w:r>
      <w:r>
        <w:rPr>
          <w:bCs/>
          <w:b/>
        </w:rPr>
        <w:t xml:space="preserve">15 July 2025</w:t>
      </w:r>
      <w:r>
        <w:t xml:space="preserve">.</w:t>
      </w:r>
    </w:p>
    <w:p>
      <w:pPr>
        <w:numPr>
          <w:ilvl w:val="0"/>
          <w:numId w:val="1001"/>
        </w:numPr>
        <w:pStyle w:val="Compact"/>
      </w:pPr>
      <w:r>
        <w:rPr>
          <w:bCs/>
          <w:b/>
        </w:rPr>
        <w:t xml:space="preserve">Payment Method:</w:t>
      </w:r>
      <w:r>
        <w:t xml:space="preserve"> </w:t>
      </w:r>
      <w:r>
        <w:t xml:space="preserve">Bank Transfer (SEPA) to Frankfurt Educational Solutions GmbH, IBAN: DE89 3704 0044 0532 0130 00, BIC: COBADEFFXXX, Bank: Commerzbank AG, Frankfurt am Main, Germany.</w:t>
      </w:r>
    </w:p>
    <w:p>
      <w:pPr>
        <w:numPr>
          <w:ilvl w:val="0"/>
          <w:numId w:val="1001"/>
        </w:numPr>
        <w:pStyle w:val="Compact"/>
      </w:pPr>
      <w:r>
        <w:rPr>
          <w:bCs/>
          <w:b/>
        </w:rPr>
        <w:t xml:space="preserve">Reference:</w:t>
      </w:r>
      <w:r>
        <w:t xml:space="preserve"> </w:t>
      </w:r>
      <w:r>
        <w:t xml:space="preserve">Please cite Invoice No. INV-2025-FRA-00472 in all payment communications.</w:t>
      </w:r>
    </w:p>
    <w:p>
      <w:pPr>
        <w:numPr>
          <w:ilvl w:val="0"/>
          <w:numId w:val="1001"/>
        </w:numPr>
        <w:pStyle w:val="Compact"/>
      </w:pPr>
      <w:r>
        <w:rPr>
          <w:bCs/>
          <w:b/>
        </w:rPr>
        <w:t xml:space="preserve">Late Payment:</w:t>
      </w:r>
      <w:r>
        <w:t xml:space="preserve"> </w:t>
      </w:r>
      <w:r>
        <w:t xml:space="preserve">In accordance with § 288 HGB, a default interest of 8 percentage points above the ECB base rate applies to overdue amounts on this Invoice.</w:t>
      </w:r>
    </w:p>
    <w:p>
      <w:pPr>
        <w:numPr>
          <w:ilvl w:val="0"/>
          <w:numId w:val="1001"/>
        </w:numPr>
        <w:pStyle w:val="Compact"/>
      </w:pPr>
      <w:r>
        <w:rPr>
          <w:bCs/>
          <w:b/>
        </w:rPr>
        <w:t xml:space="preserve">Disputes:</w:t>
      </w:r>
      <w:r>
        <w:t xml:space="preserve"> </w:t>
      </w:r>
      <w:r>
        <w:t xml:space="preserve">Any discrepancies regarding this Invoice must be raised in writing within 14 days of receipt. The governing law is German law, and the competent court is the Local Court (Amtsgericht) Frankfurt am Main.</w:t>
      </w:r>
    </w:p>
    <w:bookmarkEnd w:id="24"/>
    <w:bookmarkStart w:id="25" w:name="X0154cb55dbd383c328284b458fad5769d669681"/>
    <w:p>
      <w:pPr>
        <w:pStyle w:val="Heading3"/>
      </w:pPr>
      <w:r>
        <w:t xml:space="preserve">Notes Regarding This Curriculum Developer Invoice</w:t>
      </w:r>
    </w:p>
    <w:p>
      <w:pPr>
        <w:pStyle w:val="FirstParagraph"/>
      </w:pPr>
      <w:r>
        <w:t xml:space="preserve">This Invoice reflects the complete scope of Curriculum Developer services rendered by Frankfurt Educational Solutions GmbH for the period of January 2025 through May 2025. All curriculum materials, pedagogical frameworks, and instructional design deliverables produced under this engagement are the intellectual property of the client upon full settlement of this Invoice. The Curriculum Developer team, led by Prof. Markus Steinbach, operated exclusively from the Frankfurt am Main office in Germany throughout the project duration. This document serves as the official financial record for the services described and should be retained for a minimum of ten (10) years in compliance with German tax law (Abgabenordnung § 147). For any questions regarding this Invoice or the Curriculum Developer services rendered, please contact our billing department in Frankfurt, Germany, at billing@frankfurt-edusolutions.de or +49 69 4455 6677.</w:t>
      </w:r>
    </w:p>
    <w:bookmarkEnd w:id="25"/>
    <w:p>
      <w:pPr>
        <w:pStyle w:val="BodyText"/>
      </w:pPr>
      <w:r>
        <w:rPr>
          <w:bCs/>
          <w:b/>
        </w:rPr>
        <w:t xml:space="preserve">Frankfurt Educational Solutions GmbH</w:t>
      </w:r>
      <w:r>
        <w:t xml:space="preserve"> </w:t>
      </w:r>
      <w:r>
        <w:t xml:space="preserve">| Mainzer Landstraße 142, 60329 Frankfurt am Main, Germany</w:t>
      </w:r>
    </w:p>
    <w:p>
      <w:pPr>
        <w:pStyle w:val="BodyText"/>
      </w:pPr>
      <w:r>
        <w:t xml:space="preserve">Managing Director: Prof. Dr. Anke Richter | HRB 45218, Amtsgericht Frankfurt am Main | USt-IdNr.: DE 312 456 789</w:t>
      </w:r>
    </w:p>
    <w:p>
      <w:pPr>
        <w:pStyle w:val="BodyText"/>
      </w:pPr>
      <w:r>
        <w:t xml:space="preserve">This Invoice was generated electronically and is valid without a physical signature pursuant to § 126a BGB (German Civil Code).</w:t>
      </w:r>
    </w:p>
    <w:p>
      <w:pPr>
        <w:pStyle w:val="BodyText"/>
      </w:pPr>
      <w:r>
        <w:t xml:space="preserve">Thank you for engaging our Curriculum Developer services in Frankfurt, Germany.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Germany Frankfurt</dc:title>
  <dc:creator/>
  <dc:language>en</dc:language>
  <cp:keywords/>
  <dcterms:created xsi:type="dcterms:W3CDTF">2026-10-10T02:16:00Z</dcterms:created>
  <dcterms:modified xsi:type="dcterms:W3CDTF">2026-10-10T02:16:00Z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