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educational-solutions-ltd."/>
    <w:p>
      <w:pPr>
        <w:pStyle w:val="Heading1"/>
      </w:pPr>
      <w:r>
        <w:t xml:space="preserve">Osaka Educational Solutions Ltd.</w:t>
      </w:r>
    </w:p>
    <w:p>
      <w:pPr>
        <w:pStyle w:val="FirstParagraph"/>
      </w:pPr>
      <w:r>
        <w:t xml:space="preserve">2-14-8 Umeda, Kita-ku, Osaka 530-0001, Japan</w:t>
      </w:r>
    </w:p>
    <w:p>
      <w:pPr>
        <w:pStyle w:val="BodyText"/>
      </w:pPr>
      <w:r>
        <w:t xml:space="preserve">Tel: +81-6-6345-7890</w:t>
      </w:r>
    </w:p>
    <w:p>
      <w:pPr>
        <w:pStyle w:val="BodyText"/>
      </w:pPr>
      <w:r>
        <w:t xml:space="preserve">Email: billing@osaka-edusol.jp</w:t>
      </w:r>
    </w:p>
    <w:p>
      <w:pPr>
        <w:pStyle w:val="BodyText"/>
      </w:pPr>
      <w:r>
        <w:t xml:space="preserve">Corporation No.: 4010401087654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OES-2025-0472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June 30, 2025</w:t>
      </w:r>
    </w:p>
    <w:p>
      <w:pPr>
        <w:pStyle w:val="BodyText"/>
      </w:pPr>
      <w:r>
        <w:t xml:space="preserve">CURRICULUM DEVELOPER SERVICES</w:t>
      </w:r>
    </w:p>
    <w:bookmarkEnd w:id="21"/>
    <w:bookmarkStart w:id="22" w:name="bill-to"/>
    <w:p>
      <w:pPr>
        <w:pStyle w:val="Heading3"/>
      </w:pPr>
      <w:r>
        <w:t xml:space="preserve">Bill To</w:t>
      </w:r>
    </w:p>
    <w:p>
      <w:pPr>
        <w:pStyle w:val="FirstParagraph"/>
      </w:pPr>
      <w:r>
        <w:rPr>
          <w:bCs/>
          <w:b/>
        </w:rPr>
        <w:t xml:space="preserve">Osaka Metropolitan Board of Education</w:t>
      </w:r>
    </w:p>
    <w:p>
      <w:pPr>
        <w:pStyle w:val="BodyText"/>
      </w:pPr>
      <w:r>
        <w:t xml:space="preserve">3-1-1 Nakanoshima, Kita-ku</w:t>
      </w:r>
    </w:p>
    <w:p>
      <w:pPr>
        <w:pStyle w:val="BodyText"/>
      </w:pPr>
      <w:r>
        <w:t xml:space="preserve">Osaka 530-0009, Japan</w:t>
      </w:r>
    </w:p>
    <w:p>
      <w:pPr>
        <w:pStyle w:val="BodyText"/>
      </w:pPr>
      <w:r>
        <w:t xml:space="preserve">Attn: Director Tanaka Hiroshi</w:t>
      </w:r>
    </w:p>
    <w:p>
      <w:pPr>
        <w:pStyle w:val="BodyText"/>
      </w:pPr>
      <w:r>
        <w:t xml:space="preserve">PO Reference: OMBE-2025-EDU-118</w:t>
      </w:r>
    </w:p>
    <w:bookmarkEnd w:id="22"/>
    <w:bookmarkStart w:id="23" w:name="provided-by"/>
    <w:p>
      <w:pPr>
        <w:pStyle w:val="Heading3"/>
      </w:pPr>
      <w:r>
        <w:t xml:space="preserve">Provided By</w:t>
      </w:r>
    </w:p>
    <w:p>
      <w:pPr>
        <w:pStyle w:val="FirstParagraph"/>
      </w:pPr>
      <w:r>
        <w:rPr>
          <w:bCs/>
          <w:b/>
        </w:rPr>
        <w:t xml:space="preserve">Ms. Sarah Mitchell, Curriculum Developer</w:t>
      </w:r>
    </w:p>
    <w:p>
      <w:pPr>
        <w:pStyle w:val="BodyText"/>
      </w:pPr>
      <w:r>
        <w:t xml:space="preserve">Osaka Educational Solutions Ltd.</w:t>
      </w:r>
    </w:p>
    <w:p>
      <w:pPr>
        <w:pStyle w:val="BodyText"/>
      </w:pPr>
      <w:r>
        <w:t xml:space="preserve">2-14-8 Umeda, Kita-ku, Osaka 530-0001</w:t>
      </w:r>
    </w:p>
    <w:p>
      <w:pPr>
        <w:pStyle w:val="BodyText"/>
      </w:pPr>
      <w:r>
        <w:t xml:space="preserve">Japan</w:t>
      </w:r>
    </w:p>
    <w:p>
      <w:pPr>
        <w:pStyle w:val="BodyText"/>
      </w:pPr>
      <w:r>
        <w:t xml:space="preserve">Licence No.: CD-JP-2024-0091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Duration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Design and development of a comprehensive secondary school STEM curriculum framework aligned with the Japanese Ministry of Education, Culture, Sports, Science and Technology (MEXT) standards for the 2025-2026 academic year in Japan Osaka region schools.</w:t>
            </w:r>
          </w:p>
        </w:tc>
        <w:tc>
          <w:tcPr/>
          <w:p>
            <w:pPr>
              <w:pStyle w:val="Compact"/>
              <w:jc w:val="left"/>
            </w:pPr>
            <w:r>
              <w:t xml:space="preserve">120 hours</w:t>
            </w:r>
          </w:p>
        </w:tc>
        <w:tc>
          <w:tcPr/>
          <w:p>
            <w:pPr>
              <w:pStyle w:val="Compact"/>
              <w:jc w:val="left"/>
            </w:pPr>
            <w:r>
              <w:t xml:space="preserve">¥12,500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Creation of bilingual (Japanese-English) instructional materials, lesson plans, and assessment rubrics for the newly developed curriculum. Includes 45 individual lesson modules with differentiated learning pathways for diverse student populations in Osaka public schools.</w:t>
            </w:r>
          </w:p>
        </w:tc>
        <w:tc>
          <w:tcPr/>
          <w:p>
            <w:pPr>
              <w:pStyle w:val="Compact"/>
              <w:jc w:val="left"/>
            </w:pPr>
            <w:r>
              <w:t xml:space="preserve">80 hours</w:t>
            </w:r>
          </w:p>
        </w:tc>
        <w:tc>
          <w:tcPr/>
          <w:p>
            <w:pPr>
              <w:pStyle w:val="Compact"/>
              <w:jc w:val="left"/>
            </w:pPr>
            <w:r>
              <w:t xml:space="preserve">¥11,000</w:t>
            </w:r>
          </w:p>
        </w:tc>
        <w:tc>
          <w:tcPr/>
          <w:p>
            <w:pPr>
              <w:pStyle w:val="Compact"/>
              <w:jc w:val="left"/>
            </w:pPr>
            <w:r>
              <w:t xml:space="preserve">¥880,000</w:t>
            </w:r>
          </w:p>
        </w:tc>
      </w:tr>
      <w:tr>
        <w:tc>
          <w:tcPr/>
          <w:p>
            <w:pPr>
              <w:pStyle w:val="Compact"/>
              <w:jc w:val="left"/>
            </w:pPr>
            <w:r>
              <w:t xml:space="preserve">3</w:t>
            </w:r>
          </w:p>
        </w:tc>
        <w:tc>
          <w:tcPr/>
          <w:p>
            <w:pPr>
              <w:pStyle w:val="Compact"/>
              <w:jc w:val="left"/>
            </w:pPr>
            <w:r>
              <w:t xml:space="preserve">Professional development workshops and training sessions for 120 Osaka-based teachers on the implementation of the new Curriculum Developer-designed framework. Conducted across three districts in Japan Osaka (Kita-ku, Chuo-ku, and Nishi-ku).</w:t>
            </w:r>
          </w:p>
        </w:tc>
        <w:tc>
          <w:tcPr/>
          <w:p>
            <w:pPr>
              <w:pStyle w:val="Compact"/>
              <w:jc w:val="left"/>
            </w:pPr>
            <w:r>
              <w:t xml:space="preserve">16 sessions</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Integration of digital learning platforms and interactive multimedia resources into the curriculum. Includes development of 30 digital modules compatible with the Osaka Prefectural Education IT system and alignment with the GIGA School Programme infrastructure.</w:t>
            </w:r>
          </w:p>
        </w:tc>
        <w:tc>
          <w:tcPr/>
          <w:p>
            <w:pPr>
              <w:pStyle w:val="Compact"/>
              <w:jc w:val="left"/>
            </w:pPr>
            <w:r>
              <w:t xml:space="preserve">60 hours</w:t>
            </w:r>
          </w:p>
        </w:tc>
        <w:tc>
          <w:tcPr/>
          <w:p>
            <w:pPr>
              <w:pStyle w:val="Compact"/>
              <w:jc w:val="left"/>
            </w:pPr>
            <w:r>
              <w:t xml:space="preserve">¥13,000</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Curriculum evaluation, peer review coordination, and iterative refinement based on pilot programme feedback from four partner schools in Japan Osaka. Includes final documentation, quality assurance report, and submission to the Osaka Metropolitan Board of Education for approval.</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Ongoing consultation and technical support for the Curriculum Developer role during the first semester of implementation. Includes bi-weekly check-in meetings, email support, and availability for on-site visits to Osaka schools as needed.</w:t>
            </w:r>
          </w:p>
        </w:tc>
        <w:tc>
          <w:tcPr/>
          <w:p>
            <w:pPr>
              <w:pStyle w:val="Compact"/>
              <w:jc w:val="left"/>
            </w:pPr>
            <w:r>
              <w:t xml:space="preserve">3 months</w:t>
            </w:r>
          </w:p>
        </w:tc>
        <w:tc>
          <w:tcPr/>
          <w:p>
            <w:pPr>
              <w:pStyle w:val="Compact"/>
              <w:jc w:val="left"/>
            </w:pPr>
            <w:r>
              <w:t xml:space="preserve">¥85,000</w:t>
            </w:r>
          </w:p>
        </w:tc>
        <w:tc>
          <w:tcPr/>
          <w:p>
            <w:pPr>
              <w:pStyle w:val="Compact"/>
              <w:jc w:val="left"/>
            </w:pPr>
            <w:r>
              <w:t xml:space="preserve">¥255,000</w:t>
            </w:r>
          </w:p>
        </w:tc>
      </w:tr>
    </w:tbl>
    <w:p>
      <w:pPr>
        <w:pStyle w:val="BodyText"/>
      </w:pPr>
      <w:r>
        <w:t xml:space="preserve">Subtotal:</w:t>
      </w:r>
      <w:r>
        <w:t xml:space="preserve">¥4,615,000</w:t>
      </w:r>
    </w:p>
    <w:p>
      <w:pPr>
        <w:pStyle w:val="BodyText"/>
      </w:pPr>
      <w:r>
        <w:t xml:space="preserve">Consumption Tax (10%):</w:t>
      </w:r>
      <w:r>
        <w:t xml:space="preserve">¥461,500</w:t>
      </w:r>
    </w:p>
    <w:p>
      <w:pPr>
        <w:pStyle w:val="BodyText"/>
      </w:pPr>
      <w:r>
        <w:t xml:space="preserve">Local Education Surcharge (2%):</w:t>
      </w:r>
      <w:r>
        <w:t xml:space="preserve">¥92,300</w:t>
      </w:r>
    </w:p>
    <w:p>
      <w:pPr>
        <w:pStyle w:val="BodyText"/>
      </w:pPr>
      <w:r>
        <w:t xml:space="preserve">TOTAL AMOUNT DUE:</w:t>
      </w:r>
      <w:r>
        <w:t xml:space="preserve">¥5,168,800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Sumitomo Mitsui Banking Corporation (SMBC)</w:t>
      </w:r>
    </w:p>
    <w:p>
      <w:pPr>
        <w:pStyle w:val="BodyText"/>
      </w:pPr>
      <w:r>
        <w:rPr>
          <w:bCs/>
          <w:b/>
        </w:rPr>
        <w:t xml:space="preserve">Branch:</w:t>
      </w:r>
      <w:r>
        <w:t xml:space="preserve"> </w:t>
      </w:r>
      <w:r>
        <w:t xml:space="preserve">Umeda Branch, Osaka</w:t>
      </w:r>
    </w:p>
    <w:p>
      <w:pPr>
        <w:pStyle w:val="BodyText"/>
      </w:pPr>
      <w:r>
        <w:rPr>
          <w:bCs/>
          <w:b/>
        </w:rPr>
        <w:t xml:space="preserve">Account Name:</w:t>
      </w:r>
      <w:r>
        <w:t xml:space="preserve"> </w:t>
      </w:r>
      <w:r>
        <w:t xml:space="preserve">Osaka Educational Solutions Ltd.</w:t>
      </w:r>
    </w:p>
    <w:p>
      <w:pPr>
        <w:pStyle w:val="BodyText"/>
      </w:pPr>
      <w:r>
        <w:rPr>
          <w:bCs/>
          <w:b/>
        </w:rPr>
        <w:t xml:space="preserve">Account Number:</w:t>
      </w:r>
      <w:r>
        <w:t xml:space="preserve"> </w:t>
      </w:r>
      <w:r>
        <w:t xml:space="preserve">123-456-789 (Ordinary Savings)</w:t>
      </w:r>
    </w:p>
    <w:p>
      <w:pPr>
        <w:pStyle w:val="BodyText"/>
      </w:pPr>
      <w:r>
        <w:rPr>
          <w:bCs/>
          <w:b/>
        </w:rPr>
        <w:t xml:space="preserve">SWIFT Code:</w:t>
      </w:r>
      <w:r>
        <w:t xml:space="preserve"> </w:t>
      </w:r>
      <w:r>
        <w:t xml:space="preserve">SMBCJPJT</w:t>
      </w:r>
    </w:p>
    <w:p>
      <w:pPr>
        <w:pStyle w:val="BodyText"/>
      </w:pPr>
      <w:r>
        <w:rPr>
          <w:bCs/>
          <w:b/>
        </w:rPr>
        <w:t xml:space="preserve">Payment Method:</w:t>
      </w:r>
      <w:r>
        <w:t xml:space="preserve"> </w:t>
      </w:r>
      <w:r>
        <w:t xml:space="preserve">Bank Transfer (Japanese Yen only)</w:t>
      </w:r>
    </w:p>
    <w:p>
      <w:pPr>
        <w:pStyle w:val="BodyText"/>
      </w:pPr>
      <w:r>
        <w:rPr>
          <w:bCs/>
          <w:b/>
        </w:rPr>
        <w:t xml:space="preserve">Payment Terms:</w:t>
      </w:r>
      <w:r>
        <w:t xml:space="preserve"> </w:t>
      </w:r>
      <w:r>
        <w:t xml:space="preserve">Net 30 days from the date of this Invoice. Late payments are subject to a 1.5% monthly interest charge as per Japanese commercial practice.</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Curriculum Developer services rendered by Ms. Sarah Mitchell during the period of April 1 through June 30, 2025, specifically for educational institutions operating within the Japan Osaka metropolitan area.</w:t>
      </w:r>
    </w:p>
    <w:p>
      <w:pPr>
        <w:pStyle w:val="BodyText"/>
      </w:pPr>
      <w:r>
        <w:t xml:space="preserve">2. All curriculum materials developed under this engagement are the intellectual property of the Osaka Metropolitan Board of Education upon full payment of this Invoice. The Curriculum Developer retains the right to reference the project in professional portfolios and academic publications with prior written consent.</w:t>
      </w:r>
    </w:p>
    <w:p>
      <w:pPr>
        <w:pStyle w:val="BodyText"/>
      </w:pPr>
      <w:r>
        <w:t xml:space="preserve">3. The Curriculum Developer has complied with all applicable Japanese educational regulations, including the Standards for School Curriculum (Gakushu Shidun) issued by MEXT, and has ensured that all developed content meets the quality benchmarks established for schools in Japan Osaka.</w:t>
      </w:r>
    </w:p>
    <w:p>
      <w:pPr>
        <w:pStyle w:val="BodyText"/>
      </w:pPr>
      <w:r>
        <w:t xml:space="preserve">4. Should any portion of the services described in this Invoice require revision or additional work beyond the originally scoped deliverables, a supplementary Invoice will be issued with a detailed breakdown of the additional Curriculum Developer hours and associated costs.</w:t>
      </w:r>
    </w:p>
    <w:p>
      <w:pPr>
        <w:pStyle w:val="BodyText"/>
      </w:pPr>
      <w:r>
        <w:t xml:space="preserve">5. This Invoice is valid for 90 days from the issue date. Please reference Invoice Number OES-2025-0472 in all correspondence and payment remittances to ensure proper accounting and reconciliation.</w:t>
      </w:r>
    </w:p>
    <w:bookmarkEnd w:id="25"/>
    <w:p>
      <w:pPr>
        <w:pStyle w:val="BodyText"/>
      </w:pPr>
      <w:r>
        <w:rPr>
          <w:bCs/>
          <w:b/>
        </w:rPr>
        <w:t xml:space="preserve">Osaka Educational Solutions Ltd.</w:t>
      </w:r>
      <w:r>
        <w:t xml:space="preserve"> </w:t>
      </w:r>
      <w:r>
        <w:t xml:space="preserve">| 2-14-8 Umeda, Kita-ku, Osaka 530-0001, Japan</w:t>
      </w:r>
    </w:p>
    <w:p>
      <w:pPr>
        <w:pStyle w:val="BodyText"/>
      </w:pPr>
      <w:r>
        <w:t xml:space="preserve">Corporation No.: 4010401087654 | Representative: Mr. Kenji Yamamoto</w:t>
      </w:r>
    </w:p>
    <w:p>
      <w:pPr>
        <w:pStyle w:val="BodyText"/>
      </w:pPr>
      <w:r>
        <w:t xml:space="preserve">This Invoice was generated electronically and is valid without a physical signature in accordance with the Japanese Electronic Documents and Electronic Signatures Act (2001).</w:t>
      </w:r>
    </w:p>
    <w:p>
      <w:pPr>
        <w:pStyle w:val="BodyText"/>
      </w:pPr>
      <w:r>
        <w:t xml:space="preserve">Thank you for your business. We are proud to serve the educational community of Japan Osaka as your dedicated Curriculum Developer partner.</w:t>
      </w:r>
    </w:p>
    <w:p>
      <w:pPr>
        <w:pStyle w:val="BodyText"/>
      </w:pPr>
      <w:r>
        <w:t xml:space="preserve">© 2025 Osaka Educational Solutions Ltd. All rights reserved. | Invoice OES-2025-0472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Japan Osaka</dc:title>
  <dc:creator/>
  <dc:language>en</dc:language>
  <cp:keywords/>
  <dcterms:created xsi:type="dcterms:W3CDTF">2026-10-10T06:52:42Z</dcterms:created>
  <dcterms:modified xsi:type="dcterms:W3CDTF">2026-10-10T06:52:42Z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