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Curriculum Developer Professional Services</w:t>
      </w:r>
    </w:p>
    <w:p>
      <w:pPr>
        <w:pStyle w:val="BodyText"/>
      </w:pPr>
      <w:r>
        <w:t xml:space="preserve">Philippines Manila — Official Billing Document</w:t>
      </w:r>
    </w:p>
    <w:p>
      <w:pPr>
        <w:pStyle w:val="BodyText"/>
      </w:pPr>
      <w:r>
        <w:rPr>
          <w:bCs/>
          <w:b/>
        </w:rPr>
        <w:t xml:space="preserve">Manila Learning Solutions Inc.</w:t>
      </w:r>
      <w:r>
        <w:br/>
      </w:r>
      <w:r>
        <w:t xml:space="preserve">128 Ayala Avenue, Makati City</w:t>
      </w:r>
      <w:r>
        <w:br/>
      </w:r>
      <w:r>
        <w:t xml:space="preserve">Metro Manila, Philippines 1226</w:t>
      </w:r>
      <w:r>
        <w:br/>
      </w:r>
      <w:r>
        <w:t xml:space="preserve">Tel: +63 (2) 8887-4521</w:t>
      </w:r>
      <w:r>
        <w:br/>
      </w:r>
      <w:r>
        <w:t xml:space="preserve">Email: billing@manilalearning.ph</w:t>
      </w:r>
      <w:r>
        <w:br/>
      </w:r>
      <w:r>
        <w:t xml:space="preserve">TIN: 000-123-456-000</w:t>
      </w:r>
      <w:r>
        <w:br/>
      </w:r>
      <w:r>
        <w:t xml:space="preserve">BIR Registration: 000-123-456-000</w:t>
      </w:r>
    </w:p>
    <w:bookmarkStart w:id="20" w:name="invoice-details"/>
    <w:p>
      <w:pPr>
        <w:pStyle w:val="Heading4"/>
      </w:pPr>
      <w:r>
        <w:t xml:space="preserve">Invoice Details</w:t>
      </w:r>
    </w:p>
    <w:p>
      <w:pPr>
        <w:pStyle w:val="FirstParagraph"/>
      </w:pPr>
      <w:r>
        <w:rPr>
          <w:bCs/>
          <w:b/>
        </w:rPr>
        <w:t xml:space="preserve">Invoice Number:</w:t>
      </w:r>
      <w:r>
        <w:t xml:space="preserve"> </w:t>
      </w:r>
      <w:r>
        <w:t xml:space="preserve">MLS-2025-00847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billed-to"/>
    <w:p>
      <w:pPr>
        <w:pStyle w:val="Heading4"/>
      </w:pPr>
      <w:r>
        <w:t xml:space="preserve">Billed To</w:t>
      </w:r>
    </w:p>
    <w:p>
      <w:pPr>
        <w:pStyle w:val="FirstParagraph"/>
      </w:pPr>
      <w:r>
        <w:rPr>
          <w:bCs/>
          <w:b/>
        </w:rPr>
        <w:t xml:space="preserve">DepEd Region III — Pampanga Division</w:t>
      </w:r>
    </w:p>
    <w:p>
      <w:pPr>
        <w:pStyle w:val="BodyText"/>
      </w:pPr>
      <w:r>
        <w:t xml:space="preserve">Attn: Dr. Maria Santos, Curriculum Coordinator</w:t>
      </w:r>
    </w:p>
    <w:p>
      <w:pPr>
        <w:pStyle w:val="BodyText"/>
      </w:pPr>
      <w:r>
        <w:t xml:space="preserve">156 Maginhawa Street, Pampanga City</w:t>
      </w:r>
    </w:p>
    <w:p>
      <w:pPr>
        <w:pStyle w:val="BodyText"/>
      </w:pPr>
      <w:r>
        <w:t xml:space="preserve">Pampanga, Philippines 2000</w:t>
      </w:r>
    </w:p>
    <w:p>
      <w:pPr>
        <w:pStyle w:val="BodyText"/>
      </w:pPr>
      <w:r>
        <w:t xml:space="preserve">TIN: 123-456-789-000</w:t>
      </w:r>
    </w:p>
    <w:bookmarkEnd w:id="21"/>
    <w:bookmarkStart w:id="22" w:name="service-provider"/>
    <w:p>
      <w:pPr>
        <w:pStyle w:val="Heading4"/>
      </w:pPr>
      <w:r>
        <w:t xml:space="preserve">Service Provider</w:t>
      </w:r>
    </w:p>
    <w:p>
      <w:pPr>
        <w:pStyle w:val="FirstParagraph"/>
      </w:pPr>
      <w:r>
        <w:rPr>
          <w:bCs/>
          <w:b/>
        </w:rPr>
        <w:t xml:space="preserve">Curriculum Developer:</w:t>
      </w:r>
      <w:r>
        <w:t xml:space="preserve"> </w:t>
      </w:r>
      <w:r>
        <w:t xml:space="preserve">Engr. James R. Dela Cruz</w:t>
      </w:r>
    </w:p>
    <w:p>
      <w:pPr>
        <w:pStyle w:val="BodyText"/>
      </w:pPr>
      <w:r>
        <w:t xml:space="preserve">Professional ID: PRC-CD-2024-00312</w:t>
      </w:r>
    </w:p>
    <w:p>
      <w:pPr>
        <w:pStyle w:val="BodyText"/>
      </w:pPr>
      <w:r>
        <w:t xml:space="preserve">Based in: Philippines Manila</w:t>
      </w:r>
    </w:p>
    <w:p>
      <w:pPr>
        <w:pStyle w:val="BodyText"/>
      </w:pPr>
      <w:r>
        <w:t xml:space="preserve">Specialization: K-12 STEM &amp; Araling Panlipunan</w:t>
      </w:r>
    </w:p>
    <w:p>
      <w:pPr>
        <w:pStyle w:val="BodyText"/>
      </w:pPr>
      <w:r>
        <w:t xml:space="preserve">License No.: CD-2024-00312 (DepEd Accredited)</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 / Output</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Design and development of a comprehensive Grade 7 Science curriculum module aligned with the K-12 curriculum framework, including learning competencies, performance tasks, and assessment rubrics. Prepared by the Curriculum Developer in accordance with DepEd Order No. 42, s. 2016.</w:t>
            </w:r>
          </w:p>
        </w:tc>
        <w:tc>
          <w:tcPr/>
          <w:p>
            <w:pPr>
              <w:pStyle w:val="Compact"/>
              <w:jc w:val="left"/>
            </w:pPr>
            <w:r>
              <w:t xml:space="preserve">Printed &amp; Digital Module (120 pages)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Curriculum Developer workshop facilitation for 45 public school teachers in Metro Manila and surrounding provinces. Two-day intensive training on integrating 21st-century skills into the revised Araling Panlipunan curriculum for Grades 8 and 9.</w:t>
            </w:r>
          </w:p>
        </w:tc>
        <w:tc>
          <w:tcPr/>
          <w:p>
            <w:pPr>
              <w:pStyle w:val="Compact"/>
              <w:jc w:val="left"/>
            </w:pPr>
            <w:r>
              <w:t xml:space="preserve">Workshop Materials &amp; Certificates</w:t>
            </w:r>
          </w:p>
        </w:tc>
        <w:tc>
          <w:tcPr/>
          <w:p>
            <w:pPr>
              <w:pStyle w:val="Compact"/>
              <w:jc w:val="left"/>
            </w:pPr>
            <w:r>
              <w:t xml:space="preserve">2 days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3</w:t>
            </w:r>
          </w:p>
        </w:tc>
        <w:tc>
          <w:tcPr/>
          <w:p>
            <w:pPr>
              <w:pStyle w:val="Compact"/>
              <w:jc w:val="left"/>
            </w:pPr>
            <w:r>
              <w:t xml:space="preserve">Development of a standardized assessment framework and item bank for the revised Mathematics curriculum (Grades 10-12). Includes 200 multiple-choice items, 30 constructed-response items, and a detailed scoring guide. All materials developed by the Curriculum Developer following DepEd assessment standards.</w:t>
            </w:r>
          </w:p>
        </w:tc>
        <w:tc>
          <w:tcPr/>
          <w:p>
            <w:pPr>
              <w:pStyle w:val="Compact"/>
              <w:jc w:val="left"/>
            </w:pPr>
            <w:r>
              <w:t xml:space="preserve">Assessment Item Bank (Digital)</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4</w:t>
            </w:r>
          </w:p>
        </w:tc>
        <w:tc>
          <w:tcPr/>
          <w:p>
            <w:pPr>
              <w:pStyle w:val="Compact"/>
              <w:jc w:val="left"/>
            </w:pPr>
            <w:r>
              <w:t xml:space="preserve">Curriculum Developer consultation and advisory services for the revision of the English Language Arts curriculum across all grade levels. Includes three (3) on-site consultation sessions in the Philippines Manila office, two (2) virtual review meetings, and a final comprehensive report with actionable recommendations.</w:t>
            </w:r>
          </w:p>
        </w:tc>
        <w:tc>
          <w:tcPr/>
          <w:p>
            <w:pPr>
              <w:pStyle w:val="Compact"/>
              <w:jc w:val="left"/>
            </w:pPr>
            <w:r>
              <w:t xml:space="preserve">Consultation Report &amp; Revised Draft</w:t>
            </w:r>
          </w:p>
        </w:tc>
        <w:tc>
          <w:tcPr/>
          <w:p>
            <w:pPr>
              <w:pStyle w:val="Compact"/>
              <w:jc w:val="left"/>
            </w:pPr>
            <w:r>
              <w:t xml:space="preserve">5 sessions</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Creation of a teacher's guide and student activity workbook for the newly developed Environmental Science elective course (Grade 11-12). The Curriculum Developer ensured alignment with the Most Essential Learning Competencies (MELCs) and incorporated locally relevant case studies from the Philippines Manila region.</w:t>
            </w:r>
          </w:p>
        </w:tc>
        <w:tc>
          <w:tcPr/>
          <w:p>
            <w:pPr>
              <w:pStyle w:val="Compact"/>
              <w:jc w:val="left"/>
            </w:pPr>
            <w:r>
              <w:t xml:space="preserve">Teacher's Guide + Student Workbook</w:t>
            </w:r>
          </w:p>
        </w:tc>
        <w:tc>
          <w:tcPr/>
          <w:p>
            <w:pPr>
              <w:pStyle w:val="Compact"/>
              <w:jc w:val="left"/>
            </w:pPr>
            <w:r>
              <w:t xml:space="preserve">1 set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Quality assurance review and peer evaluation of the existing Technology and Livelihood Education (TLE) curriculum. The Curriculum Developer conducted a full audit of 12 existing modules, identified gaps, and provided a detailed revision roadmap with prioritized action items for the academic year 2025-2026.</w:t>
            </w:r>
          </w:p>
        </w:tc>
        <w:tc>
          <w:tcPr/>
          <w:p>
            <w:pPr>
              <w:pStyle w:val="Compact"/>
              <w:jc w:val="left"/>
            </w:pPr>
            <w:r>
              <w:t xml:space="preserve">Audit Report &amp; Revision Roadmap</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360,500.00</w:t>
            </w:r>
          </w:p>
        </w:tc>
      </w:tr>
      <w:tr>
        <w:tc>
          <w:tcPr/>
          <w:p>
            <w:pPr>
              <w:pStyle w:val="Compact"/>
              <w:jc w:val="left"/>
            </w:pPr>
            <w:r>
              <w:t xml:space="preserve">VAT (12%)</w:t>
            </w:r>
          </w:p>
        </w:tc>
        <w:tc>
          <w:tcPr/>
          <w:p>
            <w:pPr>
              <w:pStyle w:val="Compact"/>
              <w:jc w:val="left"/>
            </w:pPr>
            <w:r>
              <w:t xml:space="preserve">43,260.00</w:t>
            </w:r>
          </w:p>
        </w:tc>
      </w:tr>
      <w:tr>
        <w:tc>
          <w:tcPr/>
          <w:p>
            <w:pPr>
              <w:pStyle w:val="Compact"/>
              <w:jc w:val="left"/>
            </w:pPr>
            <w:r>
              <w:t xml:space="preserve">Withholding Tax (10%)</w:t>
            </w:r>
          </w:p>
        </w:tc>
        <w:tc>
          <w:tcPr/>
          <w:p>
            <w:pPr>
              <w:pStyle w:val="Compact"/>
              <w:jc w:val="left"/>
            </w:pPr>
            <w:r>
              <w:t xml:space="preserve">(36,050.00)</w:t>
            </w:r>
          </w:p>
        </w:tc>
      </w:tr>
      <w:tr>
        <w:tc>
          <w:tcPr/>
          <w:p>
            <w:pPr>
              <w:pStyle w:val="Compact"/>
              <w:jc w:val="left"/>
            </w:pPr>
            <w:r>
              <w:t xml:space="preserve">Documentary Stamp Tax</w:t>
            </w:r>
          </w:p>
        </w:tc>
        <w:tc>
          <w:tcPr/>
          <w:p>
            <w:pPr>
              <w:pStyle w:val="Compact"/>
              <w:jc w:val="left"/>
            </w:pPr>
            <w:r>
              <w:t xml:space="preserve">1,802.50</w:t>
            </w:r>
          </w:p>
        </w:tc>
      </w:tr>
      <w:tr>
        <w:tc>
          <w:tcPr/>
          <w:p>
            <w:pPr>
              <w:pStyle w:val="Compact"/>
              <w:jc w:val="left"/>
            </w:pPr>
            <w:r>
              <w:t xml:space="preserve">Grand Total Due</w:t>
            </w:r>
          </w:p>
        </w:tc>
        <w:tc>
          <w:tcPr/>
          <w:p>
            <w:pPr>
              <w:pStyle w:val="Compact"/>
              <w:jc w:val="left"/>
            </w:pPr>
            <w:r>
              <w:t xml:space="preserve">369,512.50</w:t>
            </w:r>
          </w:p>
        </w:tc>
      </w:tr>
    </w:tbl>
    <w:bookmarkStart w:id="23" w:name="payment-instructions-philippines-manila"/>
    <w:p>
      <w:pPr>
        <w:pStyle w:val="Heading4"/>
      </w:pPr>
      <w:r>
        <w:t xml:space="preserve">Payment Instructions — Philippines Manila</w:t>
      </w:r>
    </w:p>
    <w:p>
      <w:pPr>
        <w:pStyle w:val="FirstParagraph"/>
      </w:pPr>
      <w:r>
        <w:rPr>
          <w:bCs/>
          <w:b/>
        </w:rPr>
        <w:t xml:space="preserve">Bank:</w:t>
      </w:r>
      <w:r>
        <w:t xml:space="preserve"> </w:t>
      </w:r>
      <w:r>
        <w:t xml:space="preserve">BDO Unibank, Inc. — Makati City Branch, Philippines Manila</w:t>
      </w:r>
    </w:p>
    <w:p>
      <w:pPr>
        <w:pStyle w:val="BodyText"/>
      </w:pPr>
      <w:r>
        <w:rPr>
          <w:bCs/>
          <w:b/>
        </w:rPr>
        <w:t xml:space="preserve">Account Name:</w:t>
      </w:r>
      <w:r>
        <w:t xml:space="preserve"> </w:t>
      </w:r>
      <w:r>
        <w:t xml:space="preserve">Manila Learning Solutions Inc.</w:t>
      </w:r>
    </w:p>
    <w:p>
      <w:pPr>
        <w:pStyle w:val="BodyText"/>
      </w:pPr>
      <w:r>
        <w:rPr>
          <w:bCs/>
          <w:b/>
        </w:rPr>
        <w:t xml:space="preserve">Account Number:</w:t>
      </w:r>
      <w:r>
        <w:t xml:space="preserve"> </w:t>
      </w:r>
      <w:r>
        <w:t xml:space="preserve">001234567890</w:t>
      </w:r>
    </w:p>
    <w:p>
      <w:pPr>
        <w:pStyle w:val="BodyText"/>
      </w:pPr>
      <w:r>
        <w:rPr>
          <w:bCs/>
          <w:b/>
        </w:rPr>
        <w:t xml:space="preserve">SWIFT Code:</w:t>
      </w:r>
      <w:r>
        <w:t xml:space="preserve"> </w:t>
      </w:r>
      <w:r>
        <w:t xml:space="preserve">BDOUPHMM</w:t>
      </w:r>
    </w:p>
    <w:p>
      <w:pPr>
        <w:pStyle w:val="BodyText"/>
      </w:pPr>
      <w:r>
        <w:rPr>
          <w:bCs/>
          <w:b/>
        </w:rPr>
        <w:t xml:space="preserve">Reference:</w:t>
      </w:r>
      <w:r>
        <w:t xml:space="preserve"> </w:t>
      </w:r>
      <w:r>
        <w:t xml:space="preserve">Please indicate Invoice Number MLS-2025-00847 in your remittance advice.</w:t>
      </w:r>
    </w:p>
    <w:p>
      <w:pPr>
        <w:pStyle w:val="BodyText"/>
      </w:pPr>
      <w:r>
        <w:rPr>
          <w:bCs/>
          <w:b/>
        </w:rPr>
        <w:t xml:space="preserve">Alternative:</w:t>
      </w:r>
      <w:r>
        <w:t xml:space="preserve"> </w:t>
      </w:r>
      <w:r>
        <w:t xml:space="preserve">Check payable to "Manila Learning Solutions Inc." delivered to the office at 128 Ayala Avenue, Makati City, Metro Manila, Philippines.</w:t>
      </w:r>
    </w:p>
    <w:bookmarkEnd w:id="23"/>
    <w:bookmarkStart w:id="24" w:name="important-notes-terms"/>
    <w:p>
      <w:pPr>
        <w:pStyle w:val="Heading4"/>
      </w:pPr>
      <w:r>
        <w:t xml:space="preserve">Important Notes &amp; Terms</w:t>
      </w:r>
    </w:p>
    <w:p>
      <w:pPr>
        <w:numPr>
          <w:ilvl w:val="0"/>
          <w:numId w:val="1001"/>
        </w:numPr>
        <w:pStyle w:val="Compact"/>
      </w:pPr>
      <w:r>
        <w:t xml:space="preserve">This Invoice is issued in accordance with the Bureau of Internal Revenue (BIR) regulations of the Republic of the Philippines. All amounts are stated in Philippine Pesos (PHP).</w:t>
      </w:r>
    </w:p>
    <w:p>
      <w:pPr>
        <w:numPr>
          <w:ilvl w:val="0"/>
          <w:numId w:val="1001"/>
        </w:numPr>
        <w:pStyle w:val="Compact"/>
      </w:pPr>
      <w:r>
        <w:t xml:space="preserve">The Curriculum Developer services described herein were rendered in full compliance with DepEd policies, the K-12 Basic Education Program, and the Professional Regulation Commission (PRC) standards for curriculum professionals in the Philippines Manila area.</w:t>
      </w:r>
    </w:p>
    <w:p>
      <w:pPr>
        <w:numPr>
          <w:ilvl w:val="0"/>
          <w:numId w:val="1001"/>
        </w:numPr>
        <w:pStyle w:val="Compact"/>
      </w:pPr>
      <w:r>
        <w:t xml:space="preserve">Payment is due within thirty (30) calendar days from the Invoice date. A late payment penalty of 1.5% per month shall be applied to any outstanding balance after the due date of July 15, 2025.</w:t>
      </w:r>
    </w:p>
    <w:p>
      <w:pPr>
        <w:numPr>
          <w:ilvl w:val="0"/>
          <w:numId w:val="1001"/>
        </w:numPr>
        <w:pStyle w:val="Compact"/>
      </w:pPr>
      <w:r>
        <w:t xml:space="preserve">All intellectual property rights to the curriculum materials, assessment frameworks, and training modules developed by the Curriculum Developer shall transfer to the client upon full and final payment of this Invoice.</w:t>
      </w:r>
    </w:p>
    <w:p>
      <w:pPr>
        <w:numPr>
          <w:ilvl w:val="0"/>
          <w:numId w:val="1001"/>
        </w:numPr>
        <w:pStyle w:val="Compact"/>
      </w:pPr>
      <w:r>
        <w:t xml:space="preserve">This Invoice is valid for one hundred eighty (180) days from the date of issue. After this period, a revised Invoice may be required to reflect any changes in tax rates or regulatory requirements in the Philippines Manila jurisdiction.</w:t>
      </w:r>
    </w:p>
    <w:p>
      <w:pPr>
        <w:numPr>
          <w:ilvl w:val="0"/>
          <w:numId w:val="1001"/>
        </w:numPr>
        <w:pStyle w:val="Compact"/>
      </w:pPr>
      <w:r>
        <w:t xml:space="preserve">For disputes or clarifications regarding this Invoice, please contact the billing department at billing@manilalearning.ph or call +63 (2) 8887-4521 during business hours (Monday to Friday, 8:00 AM to 5:00 PM Philippine Standard Time).</w:t>
      </w:r>
    </w:p>
    <w:p>
      <w:pPr>
        <w:numPr>
          <w:ilvl w:val="0"/>
          <w:numId w:val="1001"/>
        </w:numPr>
        <w:pStyle w:val="Compact"/>
      </w:pPr>
      <w:r>
        <w:t xml:space="preserve">The Curriculum Developer, Engr. James R. Dela Cruz, holds a valid PRC license and is registered with the Philippine Association of Curriculum Developers (PACD), Chapter Philippines Manila. All deliverables are guaranteed to meet the quality standards set forth in the service agreement dated March 1, 2025.</w:t>
      </w:r>
    </w:p>
    <w:bookmarkEnd w:id="24"/>
    <w:p>
      <w:pPr>
        <w:pStyle w:val="FirstParagraph"/>
      </w:pPr>
      <w:r>
        <w:rPr>
          <w:bCs/>
          <w:b/>
        </w:rPr>
        <w:t xml:space="preserve">Manila Learning Solutions Inc.</w:t>
      </w:r>
      <w:r>
        <w:t xml:space="preserve"> </w:t>
      </w:r>
      <w:r>
        <w:t xml:space="preserve">— A registered corporation in the Philippines Manila, specializing in Curriculum Developer services for public and private educational institutions.</w:t>
      </w:r>
    </w:p>
    <w:p>
      <w:pPr>
        <w:pStyle w:val="BodyText"/>
      </w:pPr>
      <w:r>
        <w:t xml:space="preserve">This Invoice was generated electronically and is valid without a physical signature. For verification, contact our office at 128 Ayala Avenue, Makati City, Metro Manila, Philippines 1226.</w:t>
      </w:r>
    </w:p>
    <w:p>
      <w:pPr>
        <w:pStyle w:val="BodyText"/>
      </w:pPr>
      <w:r>
        <w:t xml:space="preserve">© 2025 Manila Learning Solutions Inc. | Invoice MLS-2025-00847 | Philippines Manila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Philippines Manila</dc:title>
  <dc:creator/>
  <dc:language>en</dc:language>
  <cp:keywords/>
  <dcterms:created xsi:type="dcterms:W3CDTF">2026-10-10T02:38:47Z</dcterms:created>
  <dcterms:modified xsi:type="dcterms:W3CDTF">2026-10-10T02:38:47Z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