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Curriculum</w:t>
      </w:r>
      <w:r>
        <w:t xml:space="preserve"> </w:t>
      </w:r>
      <w:r>
        <w:t xml:space="preserve">Developer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Miami</w:t>
      </w:r>
    </w:p>
    <w:bookmarkStart w:id="20" w:name="apex-learning-solutions-llc"/>
    <w:p>
      <w:pPr>
        <w:pStyle w:val="Heading1"/>
      </w:pPr>
      <w:r>
        <w:t xml:space="preserve">Apex Learning Solutions LLC</w:t>
      </w:r>
    </w:p>
    <w:p>
      <w:pPr>
        <w:pStyle w:val="FirstParagraph"/>
      </w:pPr>
      <w:r>
        <w:t xml:space="preserve">1200 Brickell Avenue, Suite 2400</w:t>
      </w:r>
    </w:p>
    <w:p>
      <w:pPr>
        <w:pStyle w:val="BodyText"/>
      </w:pPr>
      <w:r>
        <w:t xml:space="preserve">Miami, Florida 33131, United States</w:t>
      </w:r>
    </w:p>
    <w:p>
      <w:pPr>
        <w:pStyle w:val="BodyText"/>
      </w:pPr>
      <w:r>
        <w:t xml:space="preserve">Tel: (305) 555-0187 | Email: billing@apexlearningsolutions.com</w:t>
      </w:r>
    </w:p>
    <w:p>
      <w:pPr>
        <w:pStyle w:val="BodyText"/>
      </w:pPr>
      <w:r>
        <w:t xml:space="preserve">Florida Sales Tax ID: 987654321</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INV-2025-MIA-00472</w:t>
      </w:r>
    </w:p>
    <w:p>
      <w:pPr>
        <w:pStyle w:val="BodyText"/>
      </w:pPr>
      <w:r>
        <w:rPr>
          <w:bCs/>
          <w:b/>
        </w:rPr>
        <w:t xml:space="preserve">Invoice Date:</w:t>
      </w:r>
      <w:r>
        <w:t xml:space="preserve"> </w:t>
      </w:r>
      <w:r>
        <w:t xml:space="preserve">June 12, 2025</w:t>
      </w:r>
    </w:p>
    <w:p>
      <w:pPr>
        <w:pStyle w:val="BodyText"/>
      </w:pPr>
      <w:r>
        <w:rPr>
          <w:bCs/>
          <w:b/>
        </w:rPr>
        <w:t xml:space="preserve">Due Date:</w:t>
      </w:r>
      <w:r>
        <w:t xml:space="preserve"> </w:t>
      </w:r>
      <w:r>
        <w:t xml:space="preserve">July 12, 2025</w:t>
      </w:r>
    </w:p>
    <w:p>
      <w:pPr>
        <w:pStyle w:val="BodyText"/>
      </w:pPr>
      <w:r>
        <w:rPr>
          <w:bCs/>
          <w:b/>
        </w:rPr>
        <w:t xml:space="preserve">Service Period:</w:t>
      </w:r>
      <w:r>
        <w:t xml:space="preserve"> </w:t>
      </w:r>
      <w:r>
        <w:t xml:space="preserve">March 1 – May 31, 2025</w:t>
      </w:r>
    </w:p>
    <w:bookmarkEnd w:id="21"/>
    <w:bookmarkStart w:id="22" w:name="bill-to"/>
    <w:p>
      <w:pPr>
        <w:pStyle w:val="Heading3"/>
      </w:pPr>
      <w:r>
        <w:t xml:space="preserve">Bill To</w:t>
      </w:r>
    </w:p>
    <w:p>
      <w:pPr>
        <w:pStyle w:val="FirstParagraph"/>
      </w:pPr>
      <w:r>
        <w:rPr>
          <w:bCs/>
          <w:b/>
        </w:rPr>
        <w:t xml:space="preserve">South Florida Educational Consortium</w:t>
      </w:r>
    </w:p>
    <w:p>
      <w:pPr>
        <w:pStyle w:val="BodyText"/>
      </w:pPr>
      <w:r>
        <w:t xml:space="preserve">Attn: Dr. Maria Castellanos, Director of Academic Affairs</w:t>
      </w:r>
    </w:p>
    <w:p>
      <w:pPr>
        <w:pStyle w:val="BodyText"/>
      </w:pPr>
      <w:r>
        <w:t xml:space="preserve">4501 Northeast 2nd Avenue</w:t>
      </w:r>
    </w:p>
    <w:p>
      <w:pPr>
        <w:pStyle w:val="BodyText"/>
      </w:pPr>
      <w:r>
        <w:t xml:space="preserve">Miami, Florida 33137, United States</w:t>
      </w:r>
    </w:p>
    <w:p>
      <w:pPr>
        <w:pStyle w:val="BodyText"/>
      </w:pPr>
      <w:r>
        <w:t xml:space="preserve">Account Number: SFE-2025-0091</w:t>
      </w:r>
    </w:p>
    <w:bookmarkEnd w:id="22"/>
    <w:bookmarkStart w:id="23" w:name="prepared-by"/>
    <w:p>
      <w:pPr>
        <w:pStyle w:val="Heading3"/>
      </w:pPr>
      <w:r>
        <w:t xml:space="preserve">Prepared By</w:t>
      </w:r>
    </w:p>
    <w:p>
      <w:pPr>
        <w:pStyle w:val="FirstParagraph"/>
      </w:pPr>
      <w:r>
        <w:rPr>
          <w:bCs/>
          <w:b/>
        </w:rPr>
        <w:t xml:space="preserve">James R. Whitfield, M.Ed.</w:t>
      </w:r>
    </w:p>
    <w:p>
      <w:pPr>
        <w:pStyle w:val="BodyText"/>
      </w:pPr>
      <w:r>
        <w:t xml:space="preserve">Lead Curriculum Developer</w:t>
      </w:r>
    </w:p>
    <w:p>
      <w:pPr>
        <w:pStyle w:val="BodyText"/>
      </w:pPr>
      <w:r>
        <w:t xml:space="preserve">Apex Learning Solutions LLC</w:t>
      </w:r>
    </w:p>
    <w:p>
      <w:pPr>
        <w:pStyle w:val="BodyText"/>
      </w:pPr>
      <w:r>
        <w:t xml:space="preserve">Miami, Florida, United States</w:t>
      </w:r>
    </w:p>
    <w:p>
      <w:pPr>
        <w:pStyle w:val="BodyText"/>
      </w:pPr>
      <w:r>
        <w:t xml:space="preserve">License No. FL-CD-2019-4478</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w:t>
            </w:r>
          </w:p>
        </w:tc>
        <w:tc>
          <w:tcPr/>
          <w:p>
            <w:pPr>
              <w:pStyle w:val="Compact"/>
              <w:jc w:val="left"/>
            </w:pPr>
            <w:r>
              <w:t xml:space="preserve">Amount (USD)</w:t>
            </w:r>
          </w:p>
        </w:tc>
      </w:tr>
      <w:tr>
        <w:tc>
          <w:tcPr/>
          <w:p>
            <w:pPr>
              <w:pStyle w:val="Compact"/>
              <w:jc w:val="left"/>
            </w:pPr>
            <w:r>
              <w:t xml:space="preserve">1</w:t>
            </w:r>
          </w:p>
        </w:tc>
        <w:tc>
          <w:tcPr/>
          <w:p>
            <w:pPr>
              <w:pStyle w:val="Compact"/>
              <w:jc w:val="left"/>
            </w:pPr>
            <w:r>
              <w:rPr>
                <w:bCs/>
                <w:b/>
              </w:rPr>
              <w:t xml:space="preserve">Curriculum Developer – K-12 STEM Framework Design</w:t>
            </w:r>
          </w:p>
          <w:p>
            <w:pPr>
              <w:jc w:val="left"/>
            </w:pPr>
            <w:r>
              <w:t xml:space="preserve">Comprehensive development of a multi-year STEM curriculum aligned with Florida Department of Education standards. Includes learning objectives, pacing guides, and assessment rubrics for grades 6 through 12. Delivered in United States Miami regional context with bilingual (English/Spanish) instructional materials.</w:t>
            </w:r>
          </w:p>
        </w:tc>
        <w:tc>
          <w:tcPr/>
          <w:p>
            <w:pPr>
              <w:pStyle w:val="Compact"/>
              <w:jc w:val="left"/>
            </w:pPr>
            <w:r>
              <w:t xml:space="preserve">Mar 1 – Mar 28, 2025</w:t>
            </w:r>
          </w:p>
        </w:tc>
        <w:tc>
          <w:tcPr/>
          <w:p>
            <w:pPr>
              <w:pStyle w:val="Compact"/>
              <w:jc w:val="left"/>
            </w:pPr>
            <w:r>
              <w:t xml:space="preserve">120</w:t>
            </w:r>
          </w:p>
        </w:tc>
        <w:tc>
          <w:tcPr/>
          <w:p>
            <w:pPr>
              <w:pStyle w:val="Compact"/>
              <w:jc w:val="left"/>
            </w:pPr>
            <w:r>
              <w:t xml:space="preserve">$145.00</w:t>
            </w:r>
          </w:p>
        </w:tc>
        <w:tc>
          <w:tcPr/>
          <w:p>
            <w:pPr>
              <w:pStyle w:val="Compact"/>
              <w:jc w:val="left"/>
            </w:pPr>
            <w:r>
              <w:t xml:space="preserve">$17,400.00</w:t>
            </w:r>
          </w:p>
        </w:tc>
      </w:tr>
      <w:tr>
        <w:tc>
          <w:tcPr/>
          <w:p>
            <w:pPr>
              <w:pStyle w:val="Compact"/>
              <w:jc w:val="left"/>
            </w:pPr>
            <w:r>
              <w:t xml:space="preserve">2</w:t>
            </w:r>
          </w:p>
        </w:tc>
        <w:tc>
          <w:tcPr/>
          <w:p>
            <w:pPr>
              <w:pStyle w:val="Compact"/>
              <w:jc w:val="left"/>
            </w:pPr>
            <w:r>
              <w:rPr>
                <w:bCs/>
                <w:b/>
              </w:rPr>
              <w:t xml:space="preserve">Curriculum Developer – Professional Development Workshops</w:t>
            </w:r>
          </w:p>
          <w:p>
            <w:pPr>
              <w:jc w:val="left"/>
            </w:pPr>
            <w:r>
              <w:t xml:space="preserve">Design and delivery of four (4) half-day teacher training workshops in Miami-Dade County schools. Focused on implementing the newly developed STEM curriculum with differentiated instruction strategies. Includes facilitator guides, participant handouts, and post-workshop evaluation instruments.</w:t>
            </w:r>
          </w:p>
        </w:tc>
        <w:tc>
          <w:tcPr/>
          <w:p>
            <w:pPr>
              <w:pStyle w:val="Compact"/>
              <w:jc w:val="left"/>
            </w:pPr>
            <w:r>
              <w:t xml:space="preserve">Apr 2 – Apr 30, 2025</w:t>
            </w:r>
          </w:p>
        </w:tc>
        <w:tc>
          <w:tcPr/>
          <w:p>
            <w:pPr>
              <w:pStyle w:val="Compact"/>
              <w:jc w:val="left"/>
            </w:pPr>
            <w:r>
              <w:t xml:space="preserve">48</w:t>
            </w:r>
          </w:p>
        </w:tc>
        <w:tc>
          <w:tcPr/>
          <w:p>
            <w:pPr>
              <w:pStyle w:val="Compact"/>
              <w:jc w:val="left"/>
            </w:pPr>
            <w:r>
              <w:t xml:space="preserve">$165.00</w:t>
            </w:r>
          </w:p>
        </w:tc>
        <w:tc>
          <w:tcPr/>
          <w:p>
            <w:pPr>
              <w:pStyle w:val="Compact"/>
              <w:jc w:val="left"/>
            </w:pPr>
            <w:r>
              <w:t xml:space="preserve">$7,920.00</w:t>
            </w:r>
          </w:p>
        </w:tc>
      </w:tr>
      <w:tr>
        <w:tc>
          <w:tcPr/>
          <w:p>
            <w:pPr>
              <w:pStyle w:val="Compact"/>
              <w:jc w:val="left"/>
            </w:pPr>
            <w:r>
              <w:t xml:space="preserve">3</w:t>
            </w:r>
          </w:p>
        </w:tc>
        <w:tc>
          <w:tcPr/>
          <w:p>
            <w:pPr>
              <w:pStyle w:val="Compact"/>
              <w:jc w:val="left"/>
            </w:pPr>
            <w:r>
              <w:rPr>
                <w:bCs/>
                <w:b/>
              </w:rPr>
              <w:t xml:space="preserve">Curriculum Developer – Digital Learning Module Integration</w:t>
            </w:r>
          </w:p>
          <w:p>
            <w:pPr>
              <w:jc w:val="left"/>
            </w:pPr>
            <w:r>
              <w:t xml:space="preserve">Integration of interactive digital learning modules into the physical curriculum framework. Includes coordination with ed-tech vendors in the United States Miami metropolitan area, creation of LMS-compatible content packages, and accessibility compliance review per ADA and Section 504 requirements.</w:t>
            </w:r>
          </w:p>
        </w:tc>
        <w:tc>
          <w:tcPr/>
          <w:p>
            <w:pPr>
              <w:pStyle w:val="Compact"/>
              <w:jc w:val="left"/>
            </w:pPr>
            <w:r>
              <w:t xml:space="preserve">May 1 – May 20, 2025</w:t>
            </w:r>
          </w:p>
        </w:tc>
        <w:tc>
          <w:tcPr/>
          <w:p>
            <w:pPr>
              <w:pStyle w:val="Compact"/>
              <w:jc w:val="left"/>
            </w:pPr>
            <w:r>
              <w:t xml:space="preserve">80</w:t>
            </w:r>
          </w:p>
        </w:tc>
        <w:tc>
          <w:tcPr/>
          <w:p>
            <w:pPr>
              <w:pStyle w:val="Compact"/>
              <w:jc w:val="left"/>
            </w:pPr>
            <w:r>
              <w:t xml:space="preserve">$155.00</w:t>
            </w:r>
          </w:p>
        </w:tc>
        <w:tc>
          <w:tcPr/>
          <w:p>
            <w:pPr>
              <w:pStyle w:val="Compact"/>
              <w:jc w:val="left"/>
            </w:pPr>
            <w:r>
              <w:t xml:space="preserve">$12,400.00</w:t>
            </w:r>
          </w:p>
        </w:tc>
      </w:tr>
      <w:tr>
        <w:tc>
          <w:tcPr/>
          <w:p>
            <w:pPr>
              <w:pStyle w:val="Compact"/>
              <w:jc w:val="left"/>
            </w:pPr>
            <w:r>
              <w:t xml:space="preserve">4</w:t>
            </w:r>
          </w:p>
        </w:tc>
        <w:tc>
          <w:tcPr/>
          <w:p>
            <w:pPr>
              <w:pStyle w:val="Compact"/>
              <w:jc w:val="left"/>
            </w:pPr>
            <w:r>
              <w:rPr>
                <w:bCs/>
                <w:b/>
              </w:rPr>
              <w:t xml:space="preserve">Curriculum Developer – Assessment &amp; Evaluation Suite</w:t>
            </w:r>
          </w:p>
          <w:p>
            <w:pPr>
              <w:jc w:val="left"/>
            </w:pPr>
            <w:r>
              <w:t xml:space="preserve">Development of formative and summative assessment instruments, standardized test preparation materials, and portfolio-based evaluation criteria. All materials validated for use in Florida public and charter schools within the United States Miami district boundaries.</w:t>
            </w:r>
          </w:p>
        </w:tc>
        <w:tc>
          <w:tcPr/>
          <w:p>
            <w:pPr>
              <w:pStyle w:val="Compact"/>
              <w:jc w:val="left"/>
            </w:pPr>
            <w:r>
              <w:t xml:space="preserve">May 21 – May 31, 2025</w:t>
            </w:r>
          </w:p>
        </w:tc>
        <w:tc>
          <w:tcPr/>
          <w:p>
            <w:pPr>
              <w:pStyle w:val="Compact"/>
              <w:jc w:val="left"/>
            </w:pPr>
            <w:r>
              <w:t xml:space="preserve">56</w:t>
            </w:r>
          </w:p>
        </w:tc>
        <w:tc>
          <w:tcPr/>
          <w:p>
            <w:pPr>
              <w:pStyle w:val="Compact"/>
              <w:jc w:val="left"/>
            </w:pPr>
            <w:r>
              <w:t xml:space="preserve">$150.00</w:t>
            </w:r>
          </w:p>
        </w:tc>
        <w:tc>
          <w:tcPr/>
          <w:p>
            <w:pPr>
              <w:pStyle w:val="Compact"/>
              <w:jc w:val="left"/>
            </w:pPr>
            <w:r>
              <w:t xml:space="preserve">$8,400.00</w:t>
            </w:r>
          </w:p>
        </w:tc>
      </w:tr>
      <w:tr>
        <w:tc>
          <w:tcPr/>
          <w:p>
            <w:pPr>
              <w:pStyle w:val="Compact"/>
              <w:jc w:val="left"/>
            </w:pPr>
            <w:r>
              <w:t xml:space="preserve">5</w:t>
            </w:r>
          </w:p>
        </w:tc>
        <w:tc>
          <w:tcPr/>
          <w:p>
            <w:pPr>
              <w:pStyle w:val="Compact"/>
              <w:jc w:val="left"/>
            </w:pPr>
            <w:r>
              <w:rPr>
                <w:bCs/>
                <w:b/>
              </w:rPr>
              <w:t xml:space="preserve">Curriculum Developer – Final Documentation &amp; Handover</w:t>
            </w:r>
          </w:p>
          <w:p>
            <w:pPr>
              <w:jc w:val="left"/>
            </w:pPr>
            <w:r>
              <w:t xml:space="preserve">Compilation of all curriculum deliverables into a master documentation package. Includes executive summary, implementation roadmap, teacher resource library, and a 30-day post-implementation support window. Final review meeting conducted at the client's Miami, Florida office.</w:t>
            </w:r>
          </w:p>
        </w:tc>
        <w:tc>
          <w:tcPr/>
          <w:p>
            <w:pPr>
              <w:pStyle w:val="Compact"/>
              <w:jc w:val="left"/>
            </w:pPr>
            <w:r>
              <w:t xml:space="preserve">Jun 1 – Jun 10, 2025</w:t>
            </w:r>
          </w:p>
        </w:tc>
        <w:tc>
          <w:tcPr/>
          <w:p>
            <w:pPr>
              <w:pStyle w:val="Compact"/>
              <w:jc w:val="left"/>
            </w:pPr>
            <w:r>
              <w:t xml:space="preserve">24</w:t>
            </w:r>
          </w:p>
        </w:tc>
        <w:tc>
          <w:tcPr/>
          <w:p>
            <w:pPr>
              <w:pStyle w:val="Compact"/>
              <w:jc w:val="left"/>
            </w:pPr>
            <w:r>
              <w:t xml:space="preserve">$140.00</w:t>
            </w:r>
          </w:p>
        </w:tc>
        <w:tc>
          <w:tcPr/>
          <w:p>
            <w:pPr>
              <w:pStyle w:val="Compact"/>
              <w:jc w:val="left"/>
            </w:pPr>
            <w:r>
              <w:t xml:space="preserve">$3,360.00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$49,480.00</w:t>
            </w:r>
          </w:p>
        </w:tc>
      </w:tr>
      <w:tr>
        <w:tc>
          <w:tcPr/>
          <w:p>
            <w:pPr>
              <w:pStyle w:val="Compact"/>
              <w:jc w:val="left"/>
            </w:pPr>
            <w:r>
              <w:t xml:space="preserve">Florida State Sales Tax (7.0%)</w:t>
            </w:r>
          </w:p>
        </w:tc>
        <w:tc>
          <w:tcPr/>
          <w:p>
            <w:pPr>
              <w:pStyle w:val="Compact"/>
              <w:jc w:val="left"/>
            </w:pPr>
            <w:r>
              <w:t xml:space="preserve">$3,463.60</w:t>
            </w:r>
          </w:p>
        </w:tc>
      </w:tr>
      <w:tr>
        <w:tc>
          <w:tcPr/>
          <w:p>
            <w:pPr>
              <w:pStyle w:val="Compact"/>
              <w:jc w:val="left"/>
            </w:pPr>
            <w:r>
              <w:t xml:space="preserve">Miami-Dade County Surcharge (0.5%)</w:t>
            </w:r>
          </w:p>
        </w:tc>
        <w:tc>
          <w:tcPr/>
          <w:p>
            <w:pPr>
              <w:pStyle w:val="Compact"/>
              <w:jc w:val="left"/>
            </w:pPr>
            <w:r>
              <w:t xml:space="preserve">$247.40</w:t>
            </w:r>
          </w:p>
        </w:tc>
      </w:tr>
      <w:tr>
        <w:tc>
          <w:tcPr/>
          <w:p>
            <w:pPr>
              <w:pStyle w:val="Compact"/>
              <w:jc w:val="left"/>
            </w:pPr>
            <w:r>
              <w:t xml:space="preserve">Early Payment Discount (2% – Net 30)</w:t>
            </w:r>
          </w:p>
        </w:tc>
        <w:tc>
          <w:tcPr/>
          <w:p>
            <w:pPr>
              <w:pStyle w:val="Compact"/>
              <w:jc w:val="left"/>
            </w:pPr>
            <w:r>
              <w:t xml:space="preserve">-$989.60</w:t>
            </w:r>
          </w:p>
        </w:tc>
      </w:tr>
      <w:tr>
        <w:tc>
          <w:tcPr/>
          <w:p>
            <w:pPr>
              <w:pStyle w:val="Compact"/>
              <w:jc w:val="left"/>
            </w:pPr>
            <w:r>
              <w:t xml:space="preserve">Grand Total Due</w:t>
            </w:r>
          </w:p>
        </w:tc>
        <w:tc>
          <w:tcPr/>
          <w:p>
            <w:pPr>
              <w:pStyle w:val="Compact"/>
              <w:jc w:val="left"/>
            </w:pPr>
            <w:r>
              <w:t xml:space="preserve">$52,201.40</w:t>
            </w:r>
          </w:p>
        </w:tc>
      </w:tr>
    </w:tbl>
    <w:bookmarkStart w:id="24" w:name="payment-terms-instructions"/>
    <w:p>
      <w:pPr>
        <w:pStyle w:val="Heading3"/>
      </w:pPr>
      <w:r>
        <w:t xml:space="preserve">Payment Terms &amp; Instructions</w:t>
      </w:r>
    </w:p>
    <w:p>
      <w:pPr>
        <w:pStyle w:val="FirstParagraph"/>
      </w:pPr>
      <w:r>
        <w:t xml:space="preserve">This Invoice is payable within thirty (30) calendar days from the Invoice date of June 12, 2025. Payment may be made via ACH transfer, wire transfer, or certified check. Please reference Invoice Number INV-2025-MIA-00472 on all remittances.</w:t>
      </w:r>
    </w:p>
    <w:p>
      <w:pPr>
        <w:pStyle w:val="BodyText"/>
      </w:pPr>
      <w:r>
        <w:rPr>
          <w:bCs/>
          <w:b/>
        </w:rPr>
        <w:t xml:space="preserve">Bank:</w:t>
      </w:r>
      <w:r>
        <w:t xml:space="preserve"> </w:t>
      </w:r>
      <w:r>
        <w:t xml:space="preserve">Bank of America, Miami Branch</w:t>
      </w:r>
    </w:p>
    <w:p>
      <w:pPr>
        <w:pStyle w:val="BodyText"/>
      </w:pPr>
      <w:r>
        <w:rPr>
          <w:bCs/>
          <w:b/>
        </w:rPr>
        <w:t xml:space="preserve">Account Name:</w:t>
      </w:r>
      <w:r>
        <w:t xml:space="preserve"> </w:t>
      </w:r>
      <w:r>
        <w:t xml:space="preserve">Apex Learning Solutions LLC</w:t>
      </w:r>
    </w:p>
    <w:p>
      <w:pPr>
        <w:pStyle w:val="BodyText"/>
      </w:pPr>
      <w:r>
        <w:rPr>
          <w:bCs/>
          <w:b/>
        </w:rPr>
        <w:t xml:space="preserve">Routing Number:</w:t>
      </w:r>
      <w:r>
        <w:t xml:space="preserve"> </w:t>
      </w:r>
      <w:r>
        <w:t xml:space="preserve">021000021</w:t>
      </w:r>
    </w:p>
    <w:p>
      <w:pPr>
        <w:pStyle w:val="BodyText"/>
      </w:pPr>
      <w:r>
        <w:rPr>
          <w:bCs/>
          <w:b/>
        </w:rPr>
        <w:t xml:space="preserve">Account Number:</w:t>
      </w:r>
      <w:r>
        <w:t xml:space="preserve"> </w:t>
      </w:r>
      <w:r>
        <w:t xml:space="preserve">8842-XXXX-XXXX</w:t>
      </w:r>
    </w:p>
    <w:p>
      <w:pPr>
        <w:pStyle w:val="BodyText"/>
      </w:pPr>
      <w:r>
        <w:rPr>
          <w:bCs/>
          <w:b/>
        </w:rPr>
        <w:t xml:space="preserve">SWIFT Code:</w:t>
      </w:r>
      <w:r>
        <w:t xml:space="preserve"> </w:t>
      </w:r>
      <w:r>
        <w:t xml:space="preserve">BOFAUS3N</w:t>
      </w:r>
    </w:p>
    <w:p>
      <w:pPr>
        <w:pStyle w:val="BodyText"/>
      </w:pPr>
      <w:r>
        <w:t xml:space="preserve">A late payment fee of 1.5% per month will be applied to any balance remaining after the due date of July 12, 2025, in accordance with Florida Statute Chapter 668.</w:t>
      </w:r>
    </w:p>
    <w:bookmarkEnd w:id="24"/>
    <w:bookmarkStart w:id="25" w:name="additional-notes-terms-of-service"/>
    <w:p>
      <w:pPr>
        <w:pStyle w:val="Heading3"/>
      </w:pPr>
      <w:r>
        <w:t xml:space="preserve">Additional Notes &amp; Terms of Service</w:t>
      </w:r>
    </w:p>
    <w:p>
      <w:pPr>
        <w:pStyle w:val="FirstParagraph"/>
      </w:pPr>
      <w:r>
        <w:t xml:space="preserve">This Invoice represents the final billing for all Curriculum Developer services rendered by Apex Learning Solutions LLC to the South Florida Educational Consortium for the period of March 1 through May 31, 2025. All curriculum materials, intellectual property, and documentation delivered under this engagement become the sole property of the client upon full payment of this Invoice.</w:t>
      </w:r>
    </w:p>
    <w:p>
      <w:pPr>
        <w:pStyle w:val="BodyText"/>
      </w:pPr>
      <w:r>
        <w:t xml:space="preserve">The Curriculum Developer services were performed in full compliance with the Florida Department of Education's curriculum standards, the United States Department of Education's Title I and Title II requirements, and all applicable Miami-Dade County Public Schools board policies. All instructional content has been reviewed for cultural relevance to the diverse student population of the United States Miami metropolitan area, including significant Hispanic, Caribbean, and international communities.</w:t>
      </w:r>
    </w:p>
    <w:p>
      <w:pPr>
        <w:pStyle w:val="BodyText"/>
      </w:pPr>
      <w:r>
        <w:t xml:space="preserve">Apex Learning Solutions LLC maintains full professional liability insurance coverage (Policy No. FL-PLI-2025-7781) for all Curriculum Developer engagements conducted within the state of Florida. A certificate of insurance is available upon request.</w:t>
      </w:r>
    </w:p>
    <w:p>
      <w:pPr>
        <w:pStyle w:val="BodyText"/>
      </w:pPr>
      <w:r>
        <w:t xml:space="preserve">Should any questions arise regarding this Invoice or the services described herein, please contact our billing department at billing@apexlearningsolutions.com or call (305) 555-0187, Monday through Friday, 9:00 AM to 5:00 PM Eastern Time. We appreciate your prompt attention to this matter and look forward to continuing our partnership in advancing educational excellence in the United States Miami region.</w:t>
      </w:r>
    </w:p>
    <w:bookmarkEnd w:id="25"/>
    <w:p>
      <w:pPr>
        <w:pStyle w:val="BodyText"/>
      </w:pPr>
      <w:r>
        <w:rPr>
          <w:bCs/>
          <w:b/>
        </w:rPr>
        <w:t xml:space="preserve">Apex Learning Solutions LLC</w:t>
      </w:r>
      <w:r>
        <w:t xml:space="preserve"> </w:t>
      </w:r>
      <w:r>
        <w:t xml:space="preserve">| 1200 Brickell Avenue, Suite 2400, Miami, FL 33131, United States</w:t>
      </w:r>
    </w:p>
    <w:p>
      <w:pPr>
        <w:pStyle w:val="BodyText"/>
      </w:pPr>
      <w:r>
        <w:t xml:space="preserve">Florida Corporation Registration No. P2500487121 | EIN: 82-XXXXXXX</w:t>
      </w:r>
    </w:p>
    <w:p>
      <w:pPr>
        <w:pStyle w:val="BodyText"/>
      </w:pPr>
      <w:r>
        <w:t xml:space="preserve">This Invoice was generated electronically and is valid without a physical signature. For questions, contact our Miami, Florida office directly.</w:t>
      </w:r>
    </w:p>
    <w:p>
      <w:pPr>
        <w:pStyle w:val="BodyText"/>
      </w:pPr>
      <w:r>
        <w:t xml:space="preserve">© 2025 Apex Learning Solutions LLC. All rights reserved. Invoice INV-2025-MIA-00472.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Curriculum Developer Services - United States Miami</dc:title>
  <dc:creator/>
  <dc:language>en</dc:language>
  <cp:keywords/>
  <dcterms:created xsi:type="dcterms:W3CDTF">2026-10-10T04:00:06Z</dcterms:created>
  <dcterms:modified xsi:type="dcterms:W3CDTF">2026-10-10T04:00:06Z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