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Customs Officer Professional Services</w:t>
      </w:r>
    </w:p>
    <w:p>
      <w:pPr>
        <w:pStyle w:val="BodyText"/>
      </w:pPr>
      <w:r>
        <w:t xml:space="preserve">Japan Kyoto Metropolitan Customs &amp; Trade Authority</w:t>
      </w:r>
    </w:p>
    <w:p>
      <w:pPr>
        <w:pStyle w:val="BodyText"/>
      </w:pPr>
      <w:r>
        <w:t xml:space="preserve">1-2-3 Higashiyama-ku, Kyoto 605-0001, Japan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JPKY-2025-CO-04872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1"/>
    <w:bookmarkStart w:id="22" w:name="issued-by"/>
    <w:p>
      <w:pPr>
        <w:pStyle w:val="Heading3"/>
      </w:pPr>
      <w:r>
        <w:t xml:space="preserve">Issued By</w:t>
      </w:r>
    </w:p>
    <w:p>
      <w:pPr>
        <w:pStyle w:val="FirstParagraph"/>
      </w:pPr>
      <w:r>
        <w:rPr>
          <w:bCs/>
          <w:b/>
        </w:rPr>
        <w:t xml:space="preserve">Customs Officer:</w:t>
      </w:r>
      <w:r>
        <w:t xml:space="preserve"> </w:t>
      </w:r>
      <w:r>
        <w:t xml:space="preserve">Kenji Tanaka, Senior Customs Officer</w:t>
      </w:r>
    </w:p>
    <w:p>
      <w:pPr>
        <w:pStyle w:val="BodyText"/>
      </w:pPr>
      <w:r>
        <w:rPr>
          <w:bCs/>
          <w:b/>
        </w:rPr>
        <w:t xml:space="preserve">License No.:</w:t>
      </w:r>
      <w:r>
        <w:t xml:space="preserve"> </w:t>
      </w:r>
      <w:r>
        <w:t xml:space="preserve">JPA-CO-2019-00342</w:t>
      </w:r>
    </w:p>
    <w:p>
      <w:pPr>
        <w:pStyle w:val="BodyText"/>
      </w:pPr>
      <w:r>
        <w:rPr>
          <w:bCs/>
          <w:b/>
        </w:rPr>
        <w:t xml:space="preserve">Department:</w:t>
      </w:r>
      <w:r>
        <w:t xml:space="preserve"> </w:t>
      </w:r>
      <w:r>
        <w:t xml:space="preserve">Import/Export Clearance Division</w:t>
      </w:r>
    </w:p>
    <w:p>
      <w:pPr>
        <w:pStyle w:val="BodyText"/>
      </w:pPr>
      <w:r>
        <w:rPr>
          <w:bCs/>
          <w:b/>
        </w:rPr>
        <w:t xml:space="preserve">Office:</w:t>
      </w:r>
      <w:r>
        <w:t xml:space="preserve"> </w:t>
      </w:r>
      <w:r>
        <w:t xml:space="preserve">Kyoto Customs House, Japan Kyoto</w:t>
      </w:r>
    </w:p>
    <w:p>
      <w:pPr>
        <w:pStyle w:val="BodyText"/>
      </w:pPr>
      <w:r>
        <w:rPr>
          <w:bCs/>
          <w:b/>
        </w:rPr>
        <w:t xml:space="preserve">Email:</w:t>
      </w:r>
      <w:r>
        <w:t xml:space="preserve"> </w:t>
      </w:r>
      <w:r>
        <w:t xml:space="preserve">k.tanaka@kyoto-customs.go.jp</w:t>
      </w:r>
    </w:p>
    <w:bookmarkEnd w:id="22"/>
    <w:bookmarkStart w:id="23" w:name="bill-to"/>
    <w:p>
      <w:pPr>
        <w:pStyle w:val="Heading3"/>
      </w:pPr>
      <w:r>
        <w:t xml:space="preserve">Bill To</w:t>
      </w:r>
    </w:p>
    <w:p>
      <w:pPr>
        <w:pStyle w:val="FirstParagraph"/>
      </w:pPr>
      <w:r>
        <w:rPr>
          <w:bCs/>
          <w:b/>
        </w:rPr>
        <w:t xml:space="preserve">Company:</w:t>
      </w:r>
      <w:r>
        <w:t xml:space="preserve"> </w:t>
      </w:r>
      <w:r>
        <w:t xml:space="preserve">Kyoto International Trade Logistics Co., Ltd.</w:t>
      </w:r>
    </w:p>
    <w:p>
      <w:pPr>
        <w:pStyle w:val="BodyText"/>
      </w:pPr>
      <w:r>
        <w:rPr>
          <w:bCs/>
          <w:b/>
        </w:rPr>
        <w:t xml:space="preserve">Address:</w:t>
      </w:r>
      <w:r>
        <w:t xml:space="preserve"> </w:t>
      </w:r>
      <w:r>
        <w:t xml:space="preserve">45-7 Nakagyo-ku, Kyoto 604-8001, Japan</w:t>
      </w:r>
    </w:p>
    <w:p>
      <w:pPr>
        <w:pStyle w:val="BodyText"/>
      </w:pPr>
      <w:r>
        <w:rPr>
          <w:bCs/>
          <w:b/>
        </w:rPr>
        <w:t xml:space="preserve">Attention:</w:t>
      </w:r>
      <w:r>
        <w:t xml:space="preserve"> </w:t>
      </w:r>
      <w:r>
        <w:t xml:space="preserve">Mr. Hiroshi Yamamoto, Director of Operations</w:t>
      </w:r>
    </w:p>
    <w:p>
      <w:pPr>
        <w:pStyle w:val="BodyText"/>
      </w:pPr>
      <w:r>
        <w:rPr>
          <w:bCs/>
          <w:b/>
        </w:rPr>
        <w:t xml:space="preserve">Tax Registration No.:</w:t>
      </w:r>
      <w:r>
        <w:t xml:space="preserve"> </w:t>
      </w:r>
      <w:r>
        <w:t xml:space="preserve">40-1234-5678</w:t>
      </w:r>
    </w:p>
    <w:p>
      <w:pPr>
        <w:pStyle w:val="BodyText"/>
      </w:pPr>
      <w:r>
        <w:rPr>
          <w:bCs/>
          <w:b/>
        </w:rPr>
        <w:t xml:space="preserve">Reference:</w:t>
      </w:r>
      <w:r>
        <w:t xml:space="preserve"> </w:t>
      </w:r>
      <w:r>
        <w:t xml:space="preserve">PO-2025-KYOT-1192</w:t>
      </w:r>
    </w:p>
    <w:bookmarkEnd w:id="23"/>
    <w:bookmarkStart w:id="24" w:name="X81d442a39328a6a35d08e0e01b0a5789a168cd3"/>
    <w:p>
      <w:pPr>
        <w:pStyle w:val="Heading2"/>
      </w:pPr>
      <w:r>
        <w:t xml:space="preserve">Description of Services Rendered by Customs Officer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Full customs clearance inspection and documentation review for commercial import shipment (HS Code 8471.30) processed at the Japan Kyoto International Trade Port. The Customs Officer conducted a physical examination of 240 units of electronic equipment, verified origin certificates, and confirmed compliance with Japanese import regulations.</w:t>
            </w:r>
          </w:p>
        </w:tc>
        <w:tc>
          <w:tcPr/>
          <w:p>
            <w:pPr>
              <w:pStyle w:val="Compact"/>
              <w:jc w:val="left"/>
            </w:pPr>
            <w:r>
              <w:t xml:space="preserve">May 28, 2025</w:t>
            </w:r>
          </w:p>
        </w:tc>
        <w:tc>
          <w:tcPr/>
          <w:p>
            <w:pPr>
              <w:pStyle w:val="Compact"/>
              <w:jc w:val="left"/>
            </w:pPr>
            <w:r>
              <w:t xml:space="preserve">1 shipment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Customs Officer advisory consultation regarding tariff classification and duty assessment for mixed cargo consignment. The Customs Officer provided written guidance on applicable tariff rates under the Japan Customs Tariff Schedule and recommended optimal classification to ensure regulatory compliance in Japan Kyoto.</w:t>
            </w:r>
          </w:p>
        </w:tc>
        <w:tc>
          <w:tcPr/>
          <w:p>
            <w:pPr>
              <w:pStyle w:val="Compact"/>
              <w:jc w:val="left"/>
            </w:pPr>
            <w:r>
              <w:t xml:space="preserve">May 30, 2025</w:t>
            </w:r>
          </w:p>
        </w:tc>
        <w:tc>
          <w:tcPr/>
          <w:p>
            <w:pPr>
              <w:pStyle w:val="Compact"/>
              <w:jc w:val="left"/>
            </w:pPr>
            <w:r>
              <w:t xml:space="preserve">3 hours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Pre-arrival customs declaration filing and electronic submission (UNIPASS system) on behalf of the importer. The Customs Officer prepared and submitted Form K-1 through the Japan Kyoto electronic customs gateway, including all supporting commercial invoices, packing lists, and bills of lading.</w:t>
            </w:r>
          </w:p>
        </w:tc>
        <w:tc>
          <w:tcPr/>
          <w:p>
            <w:pPr>
              <w:pStyle w:val="Compact"/>
              <w:jc w:val="left"/>
            </w:pPr>
            <w:r>
              <w:t xml:space="preserve">June 02, 2025</w:t>
            </w:r>
          </w:p>
        </w:tc>
        <w:tc>
          <w:tcPr/>
          <w:p>
            <w:pPr>
              <w:pStyle w:val="Compact"/>
              <w:jc w:val="left"/>
            </w:pPr>
            <w:r>
              <w:t xml:space="preserve">2 declarations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4</w:t>
            </w:r>
          </w:p>
        </w:tc>
        <w:tc>
          <w:tcPr/>
          <w:p>
            <w:pPr>
              <w:pStyle w:val="Compact"/>
              <w:jc w:val="left"/>
            </w:pPr>
            <w:r>
              <w:t xml:space="preserve">Post-clearance audit support and compliance verification. The Customs Officer reviewed the importer's records for the preceding fiscal quarter to ensure all transactions processed through Japan Kyoto customs channels met the requirements of the Customs and Tariff Act of Japan. A detailed compliance report was issued.</w:t>
            </w:r>
          </w:p>
        </w:tc>
        <w:tc>
          <w:tcPr/>
          <w:p>
            <w:pPr>
              <w:pStyle w:val="Compact"/>
              <w:jc w:val="left"/>
            </w:pPr>
            <w:r>
              <w:t xml:space="preserve">June 05, 2025</w:t>
            </w:r>
          </w:p>
        </w:tc>
        <w:tc>
          <w:tcPr/>
          <w:p>
            <w:pPr>
              <w:pStyle w:val="Compact"/>
              <w:jc w:val="left"/>
            </w:pPr>
            <w:r>
              <w:t xml:space="preserve">1 audit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Expedited customs processing and priority handling fee for time-sensitive pharmaceutical shipment (HS Code 3004.90). The Customs Officer coordinated with the Japan Kyoto Health and Quarantine Division to fast-track the release of temperature-controlled medical supplies within 48 hours of arrival.</w:t>
            </w:r>
          </w:p>
        </w:tc>
        <w:tc>
          <w:tcPr/>
          <w:p>
            <w:pPr>
              <w:pStyle w:val="Compact"/>
              <w:jc w:val="left"/>
            </w:pPr>
            <w:r>
              <w:t xml:space="preserve">June 10, 2025</w:t>
            </w:r>
          </w:p>
        </w:tc>
        <w:tc>
          <w:tcPr/>
          <w:p>
            <w:pPr>
              <w:pStyle w:val="Compact"/>
              <w:jc w:val="left"/>
            </w:pPr>
            <w:r>
              <w:t xml:space="preserve">1 shipment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Customs Officer on-site supervision and witnessing of bonded warehouse transfer operations at the Japan Kyoto Free Trade Zone. The Customs Officer verified inventory counts, sealed containers, and issued transfer permits in accordance with Japanese bonded warehouse regulations.</w:t>
            </w:r>
          </w:p>
        </w:tc>
        <w:tc>
          <w:tcPr/>
          <w:p>
            <w:pPr>
              <w:pStyle w:val="Compact"/>
              <w:jc w:val="left"/>
            </w:pPr>
            <w:r>
              <w:t xml:space="preserve">June 12, 2025</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388,000 JPY</w:t>
            </w:r>
          </w:p>
        </w:tc>
      </w:tr>
      <w:tr>
        <w:tc>
          <w:tcPr/>
          <w:p>
            <w:pPr>
              <w:pStyle w:val="Compact"/>
              <w:jc w:val="left"/>
            </w:pPr>
            <w:r>
              <w:t xml:space="preserve">Consumption Tax (10%)</w:t>
            </w:r>
          </w:p>
        </w:tc>
        <w:tc>
          <w:tcPr/>
          <w:p>
            <w:pPr>
              <w:pStyle w:val="Compact"/>
              <w:jc w:val="right"/>
            </w:pPr>
            <w:r>
              <w:t xml:space="preserve">38,800 JPY</w:t>
            </w:r>
          </w:p>
        </w:tc>
      </w:tr>
      <w:tr>
        <w:tc>
          <w:tcPr/>
          <w:p>
            <w:pPr>
              <w:pStyle w:val="Compact"/>
              <w:jc w:val="left"/>
            </w:pPr>
            <w:r>
              <w:t xml:space="preserve">Expedited Service Surcharge</w:t>
            </w:r>
          </w:p>
        </w:tc>
        <w:tc>
          <w:tcPr/>
          <w:p>
            <w:pPr>
              <w:pStyle w:val="Compact"/>
              <w:jc w:val="right"/>
            </w:pPr>
            <w:r>
              <w:t xml:space="preserve">12,000 JPY</w:t>
            </w:r>
          </w:p>
        </w:tc>
      </w:tr>
      <w:tr>
        <w:tc>
          <w:tcPr/>
          <w:p>
            <w:pPr>
              <w:pStyle w:val="Compact"/>
              <w:jc w:val="left"/>
            </w:pPr>
            <w:r>
              <w:t xml:space="preserve">Grand Total Due</w:t>
            </w:r>
          </w:p>
        </w:tc>
        <w:tc>
          <w:tcPr/>
          <w:p>
            <w:pPr>
              <w:pStyle w:val="Compact"/>
              <w:jc w:val="right"/>
            </w:pPr>
            <w:r>
              <w:t xml:space="preserve">438,800 JPY</w:t>
            </w:r>
          </w:p>
        </w:tc>
      </w:tr>
    </w:tbl>
    <w:bookmarkEnd w:id="24"/>
    <w:bookmarkStart w:id="25" w:name="terms-conditions-regulatory-notes"/>
    <w:p>
      <w:pPr>
        <w:pStyle w:val="Heading2"/>
      </w:pPr>
      <w:r>
        <w:t xml:space="preserve">Terms, Conditions &amp; Regulatory Notes</w:t>
      </w:r>
    </w:p>
    <w:p>
      <w:pPr>
        <w:numPr>
          <w:ilvl w:val="0"/>
          <w:numId w:val="1001"/>
        </w:numPr>
        <w:pStyle w:val="Compact"/>
      </w:pPr>
      <w:r>
        <w:t xml:space="preserve">This Invoice is issued in accordance with the Customs and Tariff Act of Japan (Act No. 45 of 1948) and all applicable regulations administered by the Japan Customs Agency, Kyoto Regional Office.</w:t>
      </w:r>
    </w:p>
    <w:p>
      <w:pPr>
        <w:numPr>
          <w:ilvl w:val="0"/>
          <w:numId w:val="1001"/>
        </w:numPr>
        <w:pStyle w:val="Compact"/>
      </w:pPr>
      <w:r>
        <w:t xml:space="preserve">All services rendered by the Customs Officer listed on this Invoice were performed in full compliance with the Japan Kyoto customs procedures and the ethical code of conduct for Japanese customs personnel.</w:t>
      </w:r>
    </w:p>
    <w:p>
      <w:pPr>
        <w:numPr>
          <w:ilvl w:val="0"/>
          <w:numId w:val="1001"/>
        </w:numPr>
        <w:pStyle w:val="Compact"/>
      </w:pPr>
      <w:r>
        <w:t xml:space="preserve">Payment of this Invoice is due within thirty (30) calendar days from the date of issue. Late payments shall incur a penalty interest rate of 1.5% per month as stipulated under Japanese commercial law.</w:t>
      </w:r>
    </w:p>
    <w:p>
      <w:pPr>
        <w:numPr>
          <w:ilvl w:val="0"/>
          <w:numId w:val="1001"/>
        </w:numPr>
        <w:pStyle w:val="Compact"/>
      </w:pPr>
      <w:r>
        <w:t xml:space="preserve">The Customs Officer services described herein are non-transferable and specific to the named consignee. Any reassignment of this Invoice requires written authorization from the Japan Kyoto Customs Administration.</w:t>
      </w:r>
    </w:p>
    <w:p>
      <w:pPr>
        <w:numPr>
          <w:ilvl w:val="0"/>
          <w:numId w:val="1001"/>
        </w:numPr>
        <w:pStyle w:val="Compact"/>
      </w:pPr>
      <w:r>
        <w:t xml:space="preserve">Importers are reminded that all goods cleared through Japan Kyoto customs are subject to post-clearance inspection. The Customs Officer reserves the right to re-examine any shipment within the statutory period of three years from the date of clearance.</w:t>
      </w:r>
    </w:p>
    <w:p>
      <w:pPr>
        <w:numPr>
          <w:ilvl w:val="0"/>
          <w:numId w:val="1001"/>
        </w:numPr>
        <w:pStyle w:val="Compact"/>
      </w:pPr>
      <w:r>
        <w:t xml:space="preserve">This Invoice does not constitute a guarantee of duty-free treatment. All applicable tariffs, consumption taxes, and special duties assessed by the Customs Officer at the time of clearance are the sole responsibility of the importer of record.</w:t>
      </w:r>
    </w:p>
    <w:p>
      <w:pPr>
        <w:numPr>
          <w:ilvl w:val="0"/>
          <w:numId w:val="1001"/>
        </w:numPr>
        <w:pStyle w:val="Compact"/>
      </w:pPr>
      <w:r>
        <w:t xml:space="preserve">For disputes regarding the services described on this Invoice, parties shall first attempt resolution through the Japan Kyoto Customs Dispute Mediation Board before pursuing formal legal proceedings in the Kyoto District Court.</w:t>
      </w:r>
    </w:p>
    <w:p>
      <w:pPr>
        <w:numPr>
          <w:ilvl w:val="0"/>
          <w:numId w:val="1001"/>
        </w:numPr>
        <w:pStyle w:val="Compact"/>
      </w:pPr>
      <w:r>
        <w:t xml:space="preserve">All electronic records associated with this Invoice are maintained in the UNIPASS system under the Japan Kyoto node and are retrievable for a period of ten (10) years in compliance with Japanese record-keeping statutes.</w:t>
      </w:r>
    </w:p>
    <w:bookmarkEnd w:id="25"/>
    <w:p>
      <w:pPr>
        <w:pStyle w:val="FirstParagraph"/>
      </w:pPr>
      <w:r>
        <w:rPr>
          <w:bCs/>
          <w:b/>
        </w:rPr>
        <w:t xml:space="preserve">INVOICE JPKY-2025-CO-04872</w:t>
      </w:r>
      <w:r>
        <w:t xml:space="preserve"> </w:t>
      </w:r>
      <w:r>
        <w:t xml:space="preserve">— Issued by the Office of the Senior Customs Officer, Japan Kyoto Customs House</w:t>
      </w:r>
    </w:p>
    <w:p>
      <w:pPr>
        <w:pStyle w:val="BodyText"/>
      </w:pPr>
      <w:r>
        <w:t xml:space="preserve">This document is a valid Invoice for customs professional services rendered in Japan Kyoto. Retain for your tax and compliance records.</w:t>
      </w:r>
    </w:p>
    <w:p>
      <w:pPr>
        <w:pStyle w:val="BodyText"/>
      </w:pPr>
      <w:r>
        <w:t xml:space="preserve">Japan Kyoto Customs &amp; Trade Authority • 1-2-3 Higashiyama-ku, Kyoto 605-0001, Japan • Tel: +81-75-000-0000</w:t>
      </w:r>
    </w:p>
    <w:p>
      <w:pPr>
        <w:pStyle w:val="BodyText"/>
      </w:pPr>
      <w:r>
        <w:t xml:space="preserve">© 2025 Japan Kyoto Customs Administration. All rights reserved. Unauthorized reproduction of this Invoice is prohibited under Japanese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Japan Kyoto</dc:title>
  <dc:creator/>
  <dc:language>en</dc:language>
  <cp:keywords/>
  <dcterms:created xsi:type="dcterms:W3CDTF">2026-10-10T07:34:31Z</dcterms:created>
  <dcterms:modified xsi:type="dcterms:W3CDTF">2026-10-10T07:34:31Z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