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Egypt</w:t>
      </w:r>
      <w:r>
        <w:t xml:space="preserve"> </w:t>
      </w:r>
      <w:r>
        <w:t xml:space="preserve">Alexandria</w:t>
      </w:r>
    </w:p>
    <w:p>
      <w:pPr>
        <w:pStyle w:val="FirstParagraph"/>
      </w:pPr>
      <w:r>
        <w:t xml:space="preserve">INVOICE</w:t>
      </w:r>
    </w:p>
    <w:p>
      <w:pPr>
        <w:pStyle w:val="BodyText"/>
      </w:pPr>
      <w:r>
        <w:t xml:space="preserve">Professional Data Science Services</w:t>
      </w:r>
    </w:p>
    <w:p>
      <w:pPr>
        <w:pStyle w:val="BodyText"/>
      </w:pPr>
      <w:r>
        <w:t xml:space="preserve">DUE ON RECEIPT</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INV-EGY-ALX-2025-0472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Egypt Alexandria</w:t>
      </w:r>
    </w:p>
    <w:p>
      <w:pPr>
        <w:pStyle w:val="BodyText"/>
      </w:pPr>
      <w:r>
        <w:rPr>
          <w:bCs/>
          <w:b/>
        </w:rPr>
        <w:t xml:space="preserve">Currency:</w:t>
      </w:r>
      <w:r>
        <w:t xml:space="preserve"> </w:t>
      </w:r>
      <w:r>
        <w:t xml:space="preserve">Egyptian Pound (EGP)</w:t>
      </w:r>
    </w:p>
    <w:bookmarkEnd w:id="20"/>
    <w:bookmarkStart w:id="21" w:name="from-service-provider"/>
    <w:p>
      <w:pPr>
        <w:pStyle w:val="Heading4"/>
      </w:pPr>
      <w:r>
        <w:t xml:space="preserve">From (Service Provider)</w:t>
      </w:r>
    </w:p>
    <w:p>
      <w:pPr>
        <w:pStyle w:val="FirstParagraph"/>
      </w:pPr>
      <w:r>
        <w:rPr>
          <w:bCs/>
          <w:b/>
        </w:rPr>
        <w:t xml:space="preserve">Alexandria Data Intelligence LLC</w:t>
      </w:r>
    </w:p>
    <w:p>
      <w:pPr>
        <w:pStyle w:val="BodyText"/>
      </w:pPr>
      <w:r>
        <w:t xml:space="preserve">142 Corniche El-Nil Street</w:t>
      </w:r>
    </w:p>
    <w:p>
      <w:pPr>
        <w:pStyle w:val="BodyText"/>
      </w:pPr>
      <w:r>
        <w:t xml:space="preserve">Smouha District, Egypt Alexandria</w:t>
      </w:r>
    </w:p>
    <w:p>
      <w:pPr>
        <w:pStyle w:val="BodyText"/>
      </w:pPr>
      <w:r>
        <w:t xml:space="preserve">Postal Code: 21543</w:t>
      </w:r>
    </w:p>
    <w:p>
      <w:pPr>
        <w:pStyle w:val="BodyText"/>
      </w:pPr>
      <w:r>
        <w:t xml:space="preserve">Tax Registration No.: 552-884-1023</w:t>
      </w:r>
    </w:p>
    <w:p>
      <w:pPr>
        <w:pStyle w:val="BodyText"/>
      </w:pPr>
      <w:r>
        <w:t xml:space="preserve">Email: billing@alexdataintelligence.com</w:t>
      </w:r>
    </w:p>
    <w:p>
      <w:pPr>
        <w:pStyle w:val="BodyText"/>
      </w:pPr>
      <w:r>
        <w:t xml:space="preserve">Phone: +20 3 555 8821</w:t>
      </w:r>
    </w:p>
    <w:bookmarkEnd w:id="21"/>
    <w:bookmarkStart w:id="22" w:name="bill-to-client"/>
    <w:p>
      <w:pPr>
        <w:pStyle w:val="Heading4"/>
      </w:pPr>
      <w:r>
        <w:t xml:space="preserve">Bill To (Client)</w:t>
      </w:r>
    </w:p>
    <w:p>
      <w:pPr>
        <w:pStyle w:val="FirstParagraph"/>
      </w:pPr>
      <w:r>
        <w:rPr>
          <w:bCs/>
          <w:b/>
        </w:rPr>
        <w:t xml:space="preserve">Medina Pharmaceutical Group</w:t>
      </w:r>
    </w:p>
    <w:p>
      <w:pPr>
        <w:pStyle w:val="BodyText"/>
      </w:pPr>
      <w:r>
        <w:t xml:space="preserve">Attn: Dr. Hassan El-Sayed, CTO</w:t>
      </w:r>
    </w:p>
    <w:p>
      <w:pPr>
        <w:pStyle w:val="BodyText"/>
      </w:pPr>
      <w:r>
        <w:t xml:space="preserve">78 El-Montazah Road</w:t>
      </w:r>
    </w:p>
    <w:p>
      <w:pPr>
        <w:pStyle w:val="BodyText"/>
      </w:pPr>
      <w:r>
        <w:t xml:space="preserve">Aboukir, Egypt Alexandria</w:t>
      </w:r>
    </w:p>
    <w:p>
      <w:pPr>
        <w:pStyle w:val="BodyText"/>
      </w:pPr>
      <w:r>
        <w:t xml:space="preserve">Postal Code: 21951</w:t>
      </w:r>
    </w:p>
    <w:p>
      <w:pPr>
        <w:pStyle w:val="BodyText"/>
      </w:pPr>
      <w:r>
        <w:t xml:space="preserve">Tax Registration No.: 771-203-5567</w:t>
      </w:r>
    </w:p>
    <w:p>
      <w:pPr>
        <w:pStyle w:val="BodyText"/>
      </w:pPr>
      <w:r>
        <w:t xml:space="preserve">Email: procurement@medinapharma.com</w:t>
      </w:r>
    </w:p>
    <w:p>
      <w:pPr>
        <w:pStyle w:val="BodyText"/>
      </w:pPr>
      <w:r>
        <w:t xml:space="preserve">Phone: +20 3 482 9910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Service Period</w:t>
            </w:r>
          </w:p>
        </w:tc>
        <w:tc>
          <w:tcPr/>
          <w:p>
            <w:pPr>
              <w:pStyle w:val="Compact"/>
              <w:jc w:val="left"/>
            </w:pPr>
            <w:r>
              <w:t xml:space="preserve">Rate (EGP)</w:t>
            </w:r>
          </w:p>
        </w:tc>
        <w:tc>
          <w:tcPr/>
          <w:p>
            <w:pPr>
              <w:pStyle w:val="Compact"/>
              <w:jc w:val="left"/>
            </w:pPr>
            <w:r>
              <w:t xml:space="preserve">Hours</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Senior Data Scientist – Predictive Analytics Model Development for Drug Efficacy Forecasting. Includes data pipeline architecture, feature engineering, and model validation using Python, TensorFlow, and scikit-learn frameworks.</w:t>
            </w:r>
          </w:p>
        </w:tc>
        <w:tc>
          <w:tcPr/>
          <w:p>
            <w:pPr>
              <w:pStyle w:val="Compact"/>
              <w:jc w:val="left"/>
            </w:pPr>
            <w:r>
              <w:t xml:space="preserve">May 1 – May 31, 2025</w:t>
            </w:r>
          </w:p>
        </w:tc>
        <w:tc>
          <w:tcPr/>
          <w:p>
            <w:pPr>
              <w:pStyle w:val="Compact"/>
              <w:jc w:val="left"/>
            </w:pPr>
            <w:r>
              <w:t xml:space="preserve">1,850</w:t>
            </w:r>
          </w:p>
        </w:tc>
        <w:tc>
          <w:tcPr/>
          <w:p>
            <w:pPr>
              <w:pStyle w:val="Compact"/>
              <w:jc w:val="left"/>
            </w:pPr>
            <w:r>
              <w:t xml:space="preserve">160</w:t>
            </w:r>
          </w:p>
        </w:tc>
        <w:tc>
          <w:tcPr/>
          <w:p>
            <w:pPr>
              <w:pStyle w:val="Compact"/>
              <w:jc w:val="left"/>
            </w:pPr>
            <w:r>
              <w:t xml:space="preserve">296,000.00</w:t>
            </w:r>
          </w:p>
        </w:tc>
      </w:tr>
      <w:tr>
        <w:tc>
          <w:tcPr/>
          <w:p>
            <w:pPr>
              <w:pStyle w:val="Compact"/>
              <w:jc w:val="left"/>
            </w:pPr>
            <w:r>
              <w:t xml:space="preserve">02</w:t>
            </w:r>
          </w:p>
        </w:tc>
        <w:tc>
          <w:tcPr/>
          <w:p>
            <w:pPr>
              <w:pStyle w:val="Compact"/>
              <w:jc w:val="left"/>
            </w:pPr>
            <w:r>
              <w:t xml:space="preserve">Data Scientist – Natural Language Processing (NLP) Pipeline for Clinical Trial Report Summarization. Involves transformer-based model fine-tuning, Arabic and English multilingual processing, and deployment to on-premise servers in Egypt Alexandria.</w:t>
            </w:r>
          </w:p>
        </w:tc>
        <w:tc>
          <w:tcPr/>
          <w:p>
            <w:pPr>
              <w:pStyle w:val="Compact"/>
              <w:jc w:val="left"/>
            </w:pPr>
            <w:r>
              <w:t xml:space="preserve">May 15 – June 10, 2025</w:t>
            </w:r>
          </w:p>
        </w:tc>
        <w:tc>
          <w:tcPr/>
          <w:p>
            <w:pPr>
              <w:pStyle w:val="Compact"/>
              <w:jc w:val="left"/>
            </w:pPr>
            <w:r>
              <w:t xml:space="preserve">1,650</w:t>
            </w:r>
          </w:p>
        </w:tc>
        <w:tc>
          <w:tcPr/>
          <w:p>
            <w:pPr>
              <w:pStyle w:val="Compact"/>
              <w:jc w:val="left"/>
            </w:pPr>
            <w:r>
              <w:t xml:space="preserve">120</w:t>
            </w:r>
          </w:p>
        </w:tc>
        <w:tc>
          <w:tcPr/>
          <w:p>
            <w:pPr>
              <w:pStyle w:val="Compact"/>
              <w:jc w:val="left"/>
            </w:pPr>
            <w:r>
              <w:t xml:space="preserve">198,000.00</w:t>
            </w:r>
          </w:p>
        </w:tc>
      </w:tr>
      <w:tr>
        <w:tc>
          <w:tcPr/>
          <w:p>
            <w:pPr>
              <w:pStyle w:val="Compact"/>
              <w:jc w:val="left"/>
            </w:pPr>
            <w:r>
              <w:t xml:space="preserve">03</w:t>
            </w:r>
          </w:p>
        </w:tc>
        <w:tc>
          <w:tcPr/>
          <w:p>
            <w:pPr>
              <w:pStyle w:val="Compact"/>
              <w:jc w:val="left"/>
            </w:pPr>
            <w:r>
              <w:t xml:space="preserve">Data Scientist – Real-Time Anomaly Detection System for Manufacturing Quality Control. Design and implementation of streaming data architecture using Apache Kafka and custom ML scoring models for production line monitoring.</w:t>
            </w:r>
          </w:p>
        </w:tc>
        <w:tc>
          <w:tcPr/>
          <w:p>
            <w:pPr>
              <w:pStyle w:val="Compact"/>
              <w:jc w:val="left"/>
            </w:pPr>
            <w:r>
              <w:t xml:space="preserve">June 1 – June 14, 2025</w:t>
            </w:r>
          </w:p>
        </w:tc>
        <w:tc>
          <w:tcPr/>
          <w:p>
            <w:pPr>
              <w:pStyle w:val="Compact"/>
              <w:jc w:val="left"/>
            </w:pPr>
            <w:r>
              <w:t xml:space="preserve">1,750</w:t>
            </w:r>
          </w:p>
        </w:tc>
        <w:tc>
          <w:tcPr/>
          <w:p>
            <w:pPr>
              <w:pStyle w:val="Compact"/>
              <w:jc w:val="left"/>
            </w:pPr>
            <w:r>
              <w:t xml:space="preserve">96</w:t>
            </w:r>
          </w:p>
        </w:tc>
        <w:tc>
          <w:tcPr/>
          <w:p>
            <w:pPr>
              <w:pStyle w:val="Compact"/>
              <w:jc w:val="left"/>
            </w:pPr>
            <w:r>
              <w:t xml:space="preserve">168,000.00</w:t>
            </w:r>
          </w:p>
        </w:tc>
      </w:tr>
      <w:tr>
        <w:tc>
          <w:tcPr/>
          <w:p>
            <w:pPr>
              <w:pStyle w:val="Compact"/>
              <w:jc w:val="left"/>
            </w:pPr>
            <w:r>
              <w:t xml:space="preserve">04</w:t>
            </w:r>
          </w:p>
        </w:tc>
        <w:tc>
          <w:tcPr/>
          <w:p>
            <w:pPr>
              <w:pStyle w:val="Compact"/>
              <w:jc w:val="left"/>
            </w:pPr>
            <w:r>
              <w:t xml:space="preserve">Junior Data Scientist – Data Cleaning, ETL Pipeline Maintenance, and Dashboard Development using Power BI. Ongoing support for the analytics team stationed in Egypt Alexandria office.</w:t>
            </w:r>
          </w:p>
        </w:tc>
        <w:tc>
          <w:tcPr/>
          <w:p>
            <w:pPr>
              <w:pStyle w:val="Compact"/>
              <w:jc w:val="left"/>
            </w:pPr>
            <w:r>
              <w:t xml:space="preserve">May 1 – June 14, 2025</w:t>
            </w:r>
          </w:p>
        </w:tc>
        <w:tc>
          <w:tcPr/>
          <w:p>
            <w:pPr>
              <w:pStyle w:val="Compact"/>
              <w:jc w:val="left"/>
            </w:pPr>
            <w:r>
              <w:t xml:space="preserve">950</w:t>
            </w:r>
          </w:p>
        </w:tc>
        <w:tc>
          <w:tcPr/>
          <w:p>
            <w:pPr>
              <w:pStyle w:val="Compact"/>
              <w:jc w:val="left"/>
            </w:pPr>
            <w:r>
              <w:t xml:space="preserve">200</w:t>
            </w:r>
          </w:p>
        </w:tc>
        <w:tc>
          <w:tcPr/>
          <w:p>
            <w:pPr>
              <w:pStyle w:val="Compact"/>
              <w:jc w:val="left"/>
            </w:pPr>
            <w:r>
              <w:t xml:space="preserve">190,000.00</w:t>
            </w:r>
          </w:p>
        </w:tc>
      </w:tr>
      <w:tr>
        <w:tc>
          <w:tcPr/>
          <w:p>
            <w:pPr>
              <w:pStyle w:val="Compact"/>
              <w:jc w:val="left"/>
            </w:pPr>
            <w:r>
              <w:t xml:space="preserve">05</w:t>
            </w:r>
          </w:p>
        </w:tc>
        <w:tc>
          <w:tcPr/>
          <w:p>
            <w:pPr>
              <w:pStyle w:val="Compact"/>
              <w:jc w:val="left"/>
            </w:pPr>
            <w:r>
              <w:t xml:space="preserve">Data Scientist – Machine Learning Model Retraining and A/B Testing Framework Setup. Includes statistical significance testing, experiment design documentation, and stakeholder presentation materials.</w:t>
            </w:r>
          </w:p>
        </w:tc>
        <w:tc>
          <w:tcPr/>
          <w:p>
            <w:pPr>
              <w:pStyle w:val="Compact"/>
              <w:jc w:val="left"/>
            </w:pPr>
            <w:r>
              <w:t xml:space="preserve">June 10 – June 14, 2025</w:t>
            </w:r>
          </w:p>
        </w:tc>
        <w:tc>
          <w:tcPr/>
          <w:p>
            <w:pPr>
              <w:pStyle w:val="Compact"/>
              <w:jc w:val="left"/>
            </w:pPr>
            <w:r>
              <w:t xml:space="preserve">1,850</w:t>
            </w:r>
          </w:p>
        </w:tc>
        <w:tc>
          <w:tcPr/>
          <w:p>
            <w:pPr>
              <w:pStyle w:val="Compact"/>
              <w:jc w:val="left"/>
            </w:pPr>
            <w:r>
              <w:t xml:space="preserve">40</w:t>
            </w:r>
          </w:p>
        </w:tc>
        <w:tc>
          <w:tcPr/>
          <w:p>
            <w:pPr>
              <w:pStyle w:val="Compact"/>
              <w:jc w:val="left"/>
            </w:pPr>
            <w:r>
              <w:t xml:space="preserve">74,000.00</w:t>
            </w:r>
          </w:p>
        </w:tc>
      </w:tr>
      <w:tr>
        <w:tc>
          <w:tcPr/>
          <w:p>
            <w:pPr>
              <w:pStyle w:val="Compact"/>
              <w:jc w:val="left"/>
            </w:pPr>
            <w:r>
              <w:t xml:space="preserve">06</w:t>
            </w:r>
          </w:p>
        </w:tc>
        <w:tc>
          <w:tcPr/>
          <w:p>
            <w:pPr>
              <w:pStyle w:val="Compact"/>
              <w:jc w:val="left"/>
            </w:pPr>
            <w:r>
              <w:t xml:space="preserve">Senior Data Scientist – On-Site Consultation and Knowledge Transfer Workshop at Client Facility in Egypt Alexandria. Two-day intensive training for internal data team on MLOps best practices and model governance.</w:t>
            </w:r>
          </w:p>
        </w:tc>
        <w:tc>
          <w:tcPr/>
          <w:p>
            <w:pPr>
              <w:pStyle w:val="Compact"/>
              <w:jc w:val="left"/>
            </w:pPr>
            <w:r>
              <w:t xml:space="preserve">June 12 – June 13, 2025</w:t>
            </w:r>
          </w:p>
        </w:tc>
        <w:tc>
          <w:tcPr/>
          <w:p>
            <w:pPr>
              <w:pStyle w:val="Compact"/>
              <w:jc w:val="left"/>
            </w:pPr>
            <w:r>
              <w:t xml:space="preserve">3,500</w:t>
            </w:r>
          </w:p>
        </w:tc>
        <w:tc>
          <w:tcPr/>
          <w:p>
            <w:pPr>
              <w:pStyle w:val="Compact"/>
              <w:jc w:val="left"/>
            </w:pPr>
            <w:r>
              <w:t xml:space="preserve">16</w:t>
            </w:r>
          </w:p>
        </w:tc>
        <w:tc>
          <w:tcPr/>
          <w:p>
            <w:pPr>
              <w:pStyle w:val="Compact"/>
              <w:jc w:val="left"/>
            </w:pPr>
            <w:r>
              <w:t xml:space="preserve">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982,000.00 EGP</w:t>
            </w:r>
          </w:p>
        </w:tc>
      </w:tr>
      <w:tr>
        <w:tc>
          <w:tcPr/>
          <w:p>
            <w:pPr>
              <w:pStyle w:val="Compact"/>
              <w:jc w:val="left"/>
            </w:pPr>
            <w:r>
              <w:t xml:space="preserve">VAT (14% – Egyptian Tax Authority)</w:t>
            </w:r>
          </w:p>
        </w:tc>
        <w:tc>
          <w:tcPr/>
          <w:p>
            <w:pPr>
              <w:pStyle w:val="Compact"/>
              <w:jc w:val="right"/>
            </w:pPr>
            <w:r>
              <w:t xml:space="preserve">137,480.00 EGP</w:t>
            </w:r>
          </w:p>
        </w:tc>
      </w:tr>
      <w:tr>
        <w:tc>
          <w:tcPr/>
          <w:p>
            <w:pPr>
              <w:pStyle w:val="Compact"/>
              <w:jc w:val="left"/>
            </w:pPr>
            <w:r>
              <w:t xml:space="preserve">Service Tax (1% – Alexandria Municipal)</w:t>
            </w:r>
          </w:p>
        </w:tc>
        <w:tc>
          <w:tcPr/>
          <w:p>
            <w:pPr>
              <w:pStyle w:val="Compact"/>
              <w:jc w:val="right"/>
            </w:pPr>
            <w:r>
              <w:t xml:space="preserve">9,820.00 EGP</w:t>
            </w:r>
          </w:p>
        </w:tc>
      </w:tr>
      <w:tr>
        <w:tc>
          <w:tcPr/>
          <w:p>
            <w:pPr>
              <w:pStyle w:val="Compact"/>
              <w:jc w:val="left"/>
            </w:pPr>
            <w:r>
              <w:t xml:space="preserve">Discount (Early Payment – 2%)</w:t>
            </w:r>
          </w:p>
        </w:tc>
        <w:tc>
          <w:tcPr/>
          <w:p>
            <w:pPr>
              <w:pStyle w:val="Compact"/>
              <w:jc w:val="right"/>
            </w:pPr>
            <w:r>
              <w:t xml:space="preserve">-19,640.00 EGP</w:t>
            </w:r>
          </w:p>
        </w:tc>
      </w:tr>
      <w:tr>
        <w:tc>
          <w:tcPr/>
          <w:p>
            <w:pPr>
              <w:pStyle w:val="Compact"/>
              <w:jc w:val="left"/>
            </w:pPr>
            <w:r>
              <w:t xml:space="preserve">Grand Total Due</w:t>
            </w:r>
          </w:p>
        </w:tc>
        <w:tc>
          <w:tcPr/>
          <w:p>
            <w:pPr>
              <w:pStyle w:val="Compact"/>
              <w:jc w:val="right"/>
            </w:pPr>
            <w:r>
              <w:t xml:space="preserve">1,109,660.00 EGP</w:t>
            </w:r>
          </w:p>
        </w:tc>
      </w:tr>
    </w:tbl>
    <w:bookmarkStart w:id="23" w:name="terms-and-conditions-of-this-invoice"/>
    <w:p>
      <w:pPr>
        <w:pStyle w:val="Heading4"/>
      </w:pPr>
      <w:r>
        <w:t xml:space="preserve">Terms and Conditions of This Invoice</w:t>
      </w:r>
    </w:p>
    <w:p>
      <w:pPr>
        <w:numPr>
          <w:ilvl w:val="0"/>
          <w:numId w:val="1001"/>
        </w:numPr>
        <w:pStyle w:val="Compact"/>
      </w:pPr>
      <w:r>
        <w:t xml:space="preserve">This Invoice is issued by Alexandria Data Intelligence LLC, a registered professional services firm operating in Egypt Alexandria, and is valid for payment within thirty (30) calendar days from the Invoice date stated above.</w:t>
      </w:r>
    </w:p>
    <w:p>
      <w:pPr>
        <w:numPr>
          <w:ilvl w:val="0"/>
          <w:numId w:val="1001"/>
        </w:numPr>
        <w:pStyle w:val="Compact"/>
      </w:pPr>
      <w:r>
        <w:t xml:space="preserve">All Data Scientist services rendered under this Invoice have been performed in accordance with the Master Service Agreement (MSA) dated March 1, 2025, between the parties. Any additional scope beyond the contracted deliverables will be subject to a supplementary Invoice.</w:t>
      </w:r>
    </w:p>
    <w:p>
      <w:pPr>
        <w:numPr>
          <w:ilvl w:val="0"/>
          <w:numId w:val="1001"/>
        </w:numPr>
        <w:pStyle w:val="Compact"/>
      </w:pPr>
      <w:r>
        <w:t xml:space="preserve">Payment for this Invoice shall be made via bank transfer to the account of Alexandria Data Intelligence LLC at Commercial International Bank (CIB), Egypt Alexandria Branch, Account No. 4471-8823-0091, SWIFT: CIBEGCA. Please reference Invoice Number INV-EGY-ALX-2025-0472 in all payment communications.</w:t>
      </w:r>
    </w:p>
    <w:p>
      <w:pPr>
        <w:numPr>
          <w:ilvl w:val="0"/>
          <w:numId w:val="1001"/>
        </w:numPr>
        <w:pStyle w:val="Compact"/>
      </w:pPr>
      <w:r>
        <w:t xml:space="preserve">The Data Scientist team assigned to this engagement operated primarily from the client's premises in Aboukir, Egypt Alexandria, and at the provider's office in Smouha, Egypt Alexandria. All intellectual property generated during the course of these services remains the exclusive property of Medina Pharmaceutical Group upon full settlement of this Invoice.</w:t>
      </w:r>
    </w:p>
    <w:p>
      <w:pPr>
        <w:numPr>
          <w:ilvl w:val="0"/>
          <w:numId w:val="1001"/>
        </w:numPr>
        <w:pStyle w:val="Compact"/>
      </w:pPr>
      <w:r>
        <w:t xml:space="preserve">Applicable taxes include the 14% Value Added Tax (VAT) as mandated by the Egyptian Tax Authority and the 1% municipal service tax levied by the Alexandria Governorate. These amounts are non-negotiable and are included in the grand total of this Invoice.</w:t>
      </w:r>
    </w:p>
    <w:p>
      <w:pPr>
        <w:numPr>
          <w:ilvl w:val="0"/>
          <w:numId w:val="1001"/>
        </w:numPr>
        <w:pStyle w:val="Compact"/>
      </w:pPr>
      <w:r>
        <w:t xml:space="preserve">Overdue payments on this Invoice will incur a late fee of 1.5% per month, calculated on the outstanding balance. The provider reserves the right to suspend ongoing Data Scientist support services if payment is not received within fifteen (15) days past the due date.</w:t>
      </w:r>
    </w:p>
    <w:p>
      <w:pPr>
        <w:numPr>
          <w:ilvl w:val="0"/>
          <w:numId w:val="1001"/>
        </w:numPr>
        <w:pStyle w:val="Compact"/>
      </w:pPr>
      <w:r>
        <w:t xml:space="preserve">This Invoice constitutes a final and binding financial document. Any disputes regarding the line items, rates, or hours recorded herein must be raised in writing within ten (10) business days of the Invoice date. Failure to do so shall be interpreted as full acceptance of all charges listed.</w:t>
      </w:r>
    </w:p>
    <w:p>
      <w:pPr>
        <w:numPr>
          <w:ilvl w:val="0"/>
          <w:numId w:val="1001"/>
        </w:numPr>
        <w:pStyle w:val="Compact"/>
      </w:pPr>
      <w:r>
        <w:t xml:space="preserve">All Data Scientist personnel listed in this Invoice are employees or contracted specialists of Alexandria Data Intelligence LLC and are bound by strict confidentiality agreements. No client data, proprietary algorithms, or trade secrets will be disclosed to third parties under any circumstances.</w:t>
      </w:r>
    </w:p>
    <w:p>
      <w:pPr>
        <w:numPr>
          <w:ilvl w:val="0"/>
          <w:numId w:val="1001"/>
        </w:numPr>
        <w:pStyle w:val="Compact"/>
      </w:pPr>
      <w:r>
        <w:t xml:space="preserve">This Invoice is governed by the laws of the Arab Republic of Egypt. Any legal disputes arising from this Invoice shall be subject to the exclusive jurisdiction of the courts in Egypt Alexandria.</w:t>
      </w:r>
    </w:p>
    <w:bookmarkEnd w:id="23"/>
    <w:p>
      <w:pPr>
        <w:pStyle w:val="FirstParagraph"/>
      </w:pPr>
      <w:r>
        <w:rPr>
          <w:bCs/>
          <w:b/>
        </w:rPr>
        <w:t xml:space="preserve">Alexandria Data Intelligence LLC</w:t>
      </w:r>
      <w:r>
        <w:t xml:space="preserve"> </w:t>
      </w:r>
      <w:r>
        <w:t xml:space="preserve">| 142 Corniche El-Nil Street, Smouha, Egypt Alexandria 21543</w:t>
      </w:r>
    </w:p>
    <w:p>
      <w:pPr>
        <w:pStyle w:val="BodyText"/>
      </w:pPr>
      <w:r>
        <w:t xml:space="preserve">Commercial Registration: 188442 | Tax ID: 552-884-1023 | Chamber of Commerce: Alexandria</w:t>
      </w:r>
    </w:p>
    <w:p>
      <w:pPr>
        <w:pStyle w:val="BodyText"/>
      </w:pPr>
      <w:r>
        <w:t xml:space="preserve">Thank you for your business. This Invoice was generated electronically and is valid without a physical signature. For queries regarding this Invoice, please contact our billing department at billing@alexdataintelligence.com or +20 3 555 8821.</w:t>
      </w:r>
    </w:p>
    <w:p>
      <w:pPr>
        <w:pStyle w:val="BodyText"/>
      </w:pPr>
      <w:r>
        <w:t xml:space="preserve">Document Reference: INV-EGY-ALX-2025-0472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Egypt Alexandria</dc:title>
  <dc:creator/>
  <dc:language>en</dc:language>
  <cp:keywords/>
  <dcterms:created xsi:type="dcterms:W3CDTF">2026-10-10T02:33:24Z</dcterms:created>
  <dcterms:modified xsi:type="dcterms:W3CDTF">2026-10-10T02:33:24Z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