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Xe046f8803a2f8a8d589b0f9261d9d650bb6cc16"/>
    <w:p>
      <w:pPr>
        <w:pStyle w:val="Heading1"/>
      </w:pPr>
      <w:r>
        <w:t xml:space="preserve">Dr. Lena Hoffmann – Data Science Consulting</w:t>
      </w:r>
    </w:p>
    <w:p>
      <w:pPr>
        <w:pStyle w:val="FirstParagraph"/>
      </w:pPr>
      <w:r>
        <w:t xml:space="preserve">Leipziger Straße 142, 10117 Berlin, Germany</w:t>
      </w:r>
    </w:p>
    <w:p>
      <w:pPr>
        <w:pStyle w:val="BodyText"/>
      </w:pPr>
      <w:r>
        <w:t xml:space="preserve">Phone: +49 (0)30 4455 6677</w:t>
      </w:r>
    </w:p>
    <w:p>
      <w:pPr>
        <w:pStyle w:val="BodyText"/>
      </w:pPr>
      <w:r>
        <w:t xml:space="preserve">Email: lena.hoffmann@datascience-berlin.de</w:t>
      </w:r>
    </w:p>
    <w:p>
      <w:pPr>
        <w:pStyle w:val="BodyText"/>
      </w:pPr>
      <w:r>
        <w:t xml:space="preserve">VAT ID (USt-IdNr.): DE 312 456 789</w:t>
      </w:r>
    </w:p>
    <w:p>
      <w:pPr>
        <w:pStyle w:val="BodyText"/>
      </w:pPr>
      <w:r>
        <w:t xml:space="preserve">Trade Register (Handelsregister): HRB 123456 B, Amtsgericht Berlin-Charlottenburg</w:t>
      </w:r>
    </w:p>
    <w:bookmarkEnd w:id="20"/>
    <w:bookmarkStart w:id="21" w:name="invoice"/>
    <w:p>
      <w:pPr>
        <w:pStyle w:val="Heading2"/>
      </w:pPr>
      <w:r>
        <w:t xml:space="preserve">INVOICE</w:t>
      </w:r>
    </w:p>
    <w:p>
      <w:pPr>
        <w:pStyle w:val="FirstParagraph"/>
      </w:pPr>
      <w:r>
        <w:t xml:space="preserve">Rechnung Nr. 2024-DS-0087</w:t>
      </w:r>
    </w:p>
    <w:p>
      <w:pPr>
        <w:pStyle w:val="BodyText"/>
      </w:pPr>
      <w:r>
        <w:t xml:space="preserve">Date of Issue: 15 June 2024</w:t>
      </w:r>
    </w:p>
    <w:p>
      <w:pPr>
        <w:pStyle w:val="BodyText"/>
      </w:pPr>
      <w:r>
        <w:t xml:space="preserve">Due Date: 15 July 2024</w:t>
      </w:r>
    </w:p>
    <w:bookmarkEnd w:id="21"/>
    <w:bookmarkStart w:id="22" w:name="billed-to-kunde"/>
    <w:p>
      <w:pPr>
        <w:pStyle w:val="Heading3"/>
      </w:pPr>
      <w:r>
        <w:t xml:space="preserve">Billed To (Kunde)</w:t>
      </w:r>
    </w:p>
    <w:p>
      <w:pPr>
        <w:pStyle w:val="FirstParagraph"/>
      </w:pPr>
      <w:r>
        <w:rPr>
          <w:bCs/>
          <w:b/>
        </w:rPr>
        <w:t xml:space="preserve">TechnoVision GmbH</w:t>
      </w:r>
    </w:p>
    <w:p>
      <w:pPr>
        <w:pStyle w:val="BodyText"/>
      </w:pPr>
      <w:r>
        <w:t xml:space="preserve">Attn: Mr. Stefan Krüger, Head of Digital Transformation</w:t>
      </w:r>
    </w:p>
    <w:p>
      <w:pPr>
        <w:pStyle w:val="BodyText"/>
      </w:pPr>
      <w:r>
        <w:t xml:space="preserve">Unter den Linden 88</w:t>
      </w:r>
    </w:p>
    <w:p>
      <w:pPr>
        <w:pStyle w:val="BodyText"/>
      </w:pPr>
      <w:r>
        <w:t xml:space="preserve">10117 Berlin, Germany</w:t>
      </w:r>
    </w:p>
    <w:p>
      <w:pPr>
        <w:pStyle w:val="BodyText"/>
      </w:pPr>
      <w:r>
        <w:t xml:space="preserve">VAT ID: DE 298 765 432</w:t>
      </w:r>
    </w:p>
    <w:p>
      <w:pPr>
        <w:pStyle w:val="BodyText"/>
      </w:pPr>
      <w:r>
        <w:t xml:space="preserve">Phone: +49 (0)30 8899 0011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Predictive Analytics &amp; Machine Learning Pipeline</w:t>
      </w:r>
    </w:p>
    <w:p>
      <w:pPr>
        <w:pStyle w:val="BodyText"/>
      </w:pPr>
      <w:r>
        <w:rPr>
          <w:bCs/>
          <w:b/>
        </w:rPr>
        <w:t xml:space="preserve">Contract No.:</w:t>
      </w:r>
      <w:r>
        <w:t xml:space="preserve"> </w:t>
      </w:r>
      <w:r>
        <w:t xml:space="preserve">TV-DS-2024-031</w:t>
      </w:r>
    </w:p>
    <w:p>
      <w:pPr>
        <w:pStyle w:val="BodyText"/>
      </w:pPr>
      <w:r>
        <w:rPr>
          <w:bCs/>
          <w:b/>
        </w:rPr>
        <w:t xml:space="preserve">Service Period:</w:t>
      </w:r>
      <w:r>
        <w:t xml:space="preserve"> </w:t>
      </w:r>
      <w:r>
        <w:t xml:space="preserve">01 April 2024 – 31 May 2024</w:t>
      </w:r>
    </w:p>
    <w:p>
      <w:pPr>
        <w:pStyle w:val="BodyText"/>
      </w:pPr>
      <w:r>
        <w:rPr>
          <w:bCs/>
          <w:b/>
        </w:rPr>
        <w:t xml:space="preserve">Location of Work:</w:t>
      </w:r>
      <w:r>
        <w:t xml:space="preserve"> </w:t>
      </w:r>
      <w:r>
        <w:t xml:space="preserve">Berlin, Germany (On-site &amp; Remote)</w:t>
      </w:r>
    </w:p>
    <w:p>
      <w:pPr>
        <w:pStyle w:val="BodyText"/>
      </w:pPr>
      <w:r>
        <w:rPr>
          <w:bCs/>
          <w:b/>
        </w:rPr>
        <w:t xml:space="preserve">Client PO No.:</w:t>
      </w:r>
      <w:r>
        <w:t xml:space="preserve"> </w:t>
      </w:r>
      <w:r>
        <w:t xml:space="preserve">PO-2024-4456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 Rendered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rPr>
                <w:bCs/>
                <w:b/>
              </w:rPr>
              <w:t xml:space="preserve">Data Engineering &amp; Pipeline Architecture:</w:t>
            </w:r>
            <w:r>
              <w:t xml:space="preserve"> </w:t>
            </w:r>
            <w:r>
              <w:t xml:space="preserve">Design and implementation of an end-to-end data ingestion pipeline for the client's retail analytics platform. This included ETL process development, data quality validation frameworks, and integration with the client's existing SAP infrastructure located in Berlin. The Data Scientist performed extensive data profiling, schema design, and automated data validation routines to ensure reliable data flow for downstream machine learning models.</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5,760.00</w:t>
            </w:r>
          </w:p>
        </w:tc>
        <w:tc>
          <w:tcPr/>
          <w:p>
            <w:pPr>
              <w:pStyle w:val="Compact"/>
              <w:jc w:val="left"/>
            </w:pPr>
            <w:r>
              <w:t xml:space="preserve">1,094.40</w:t>
            </w:r>
          </w:p>
        </w:tc>
      </w:tr>
      <w:tr>
        <w:tc>
          <w:tcPr/>
          <w:p>
            <w:pPr>
              <w:pStyle w:val="Compact"/>
              <w:jc w:val="left"/>
            </w:pPr>
            <w:r>
              <w:t xml:space="preserve">2</w:t>
            </w:r>
          </w:p>
        </w:tc>
        <w:tc>
          <w:tcPr/>
          <w:p>
            <w:pPr>
              <w:pStyle w:val="Compact"/>
              <w:jc w:val="left"/>
            </w:pPr>
            <w:r>
              <w:rPr>
                <w:bCs/>
                <w:b/>
              </w:rPr>
              <w:t xml:space="preserve">Machine Learning Model Development:</w:t>
            </w:r>
            <w:r>
              <w:t xml:space="preserve"> </w:t>
            </w:r>
            <w:r>
              <w:t xml:space="preserve">Development, training, and validation of predictive demand forecasting models using gradient boosting algorithms and deep neural networks. The Data Scientist conducted feature engineering on over 2.3 million historical transaction records, performed hyperparameter tuning, and implemented cross-validation strategies. Model performance was benchmarked against the client's existing statistical forecasting methods, achieving a 23% improvement in prediction accuracy.</w:t>
            </w:r>
          </w:p>
        </w:tc>
        <w:tc>
          <w:tcPr/>
          <w:p>
            <w:pPr>
              <w:pStyle w:val="Compact"/>
              <w:jc w:val="left"/>
            </w:pPr>
            <w:r>
              <w:t xml:space="preserve">135.00</w:t>
            </w:r>
          </w:p>
        </w:tc>
        <w:tc>
          <w:tcPr/>
          <w:p>
            <w:pPr>
              <w:pStyle w:val="Compact"/>
              <w:jc w:val="left"/>
            </w:pPr>
            <w:r>
              <w:t xml:space="preserve">72</w:t>
            </w:r>
          </w:p>
        </w:tc>
        <w:tc>
          <w:tcPr/>
          <w:p>
            <w:pPr>
              <w:pStyle w:val="Compact"/>
              <w:jc w:val="left"/>
            </w:pPr>
            <w:r>
              <w:t xml:space="preserve">9,720.00</w:t>
            </w:r>
          </w:p>
        </w:tc>
        <w:tc>
          <w:tcPr/>
          <w:p>
            <w:pPr>
              <w:pStyle w:val="Compact"/>
              <w:jc w:val="left"/>
            </w:pPr>
            <w:r>
              <w:t xml:space="preserve">1,846.80</w:t>
            </w:r>
          </w:p>
        </w:tc>
      </w:tr>
      <w:tr>
        <w:tc>
          <w:tcPr/>
          <w:p>
            <w:pPr>
              <w:pStyle w:val="Compact"/>
              <w:jc w:val="left"/>
            </w:pPr>
            <w:r>
              <w:t xml:space="preserve">3</w:t>
            </w:r>
          </w:p>
        </w:tc>
        <w:tc>
          <w:tcPr/>
          <w:p>
            <w:pPr>
              <w:pStyle w:val="Compact"/>
              <w:jc w:val="left"/>
            </w:pPr>
            <w:r>
              <w:rPr>
                <w:bCs/>
                <w:b/>
              </w:rPr>
              <w:t xml:space="preserve">Natural Language Processing &amp; Sentiment Analysis:</w:t>
            </w:r>
            <w:r>
              <w:t xml:space="preserve"> </w:t>
            </w:r>
            <w:r>
              <w:t xml:space="preserve">Construction of a German-language sentiment analysis engine for customer feedback processing. The Data Scientist fine-tuned transformer-based language models (BERT variants) on domain-specific German text corpora, developed custom tokenization strategies for German compound words, and built a real-time inference API. This service was critical for the client's customer experience improvement initiative in the Berlin market.</w:t>
            </w:r>
          </w:p>
        </w:tc>
        <w:tc>
          <w:tcPr/>
          <w:p>
            <w:pPr>
              <w:pStyle w:val="Compact"/>
              <w:jc w:val="left"/>
            </w:pPr>
            <w:r>
              <w:t xml:space="preserve">135.00</w:t>
            </w:r>
          </w:p>
        </w:tc>
        <w:tc>
          <w:tcPr/>
          <w:p>
            <w:pPr>
              <w:pStyle w:val="Compact"/>
              <w:jc w:val="left"/>
            </w:pPr>
            <w:r>
              <w:t xml:space="preserve">56</w:t>
            </w:r>
          </w:p>
        </w:tc>
        <w:tc>
          <w:tcPr/>
          <w:p>
            <w:pPr>
              <w:pStyle w:val="Compact"/>
              <w:jc w:val="left"/>
            </w:pPr>
            <w:r>
              <w:t xml:space="preserve">7,560.00</w:t>
            </w:r>
          </w:p>
        </w:tc>
        <w:tc>
          <w:tcPr/>
          <w:p>
            <w:pPr>
              <w:pStyle w:val="Compact"/>
              <w:jc w:val="left"/>
            </w:pPr>
            <w:r>
              <w:t xml:space="preserve">1,436.40</w:t>
            </w:r>
          </w:p>
        </w:tc>
      </w:tr>
      <w:tr>
        <w:tc>
          <w:tcPr/>
          <w:p>
            <w:pPr>
              <w:pStyle w:val="Compact"/>
              <w:jc w:val="left"/>
            </w:pPr>
            <w:r>
              <w:t xml:space="preserve">4</w:t>
            </w:r>
          </w:p>
        </w:tc>
        <w:tc>
          <w:tcPr/>
          <w:p>
            <w:pPr>
              <w:pStyle w:val="Compact"/>
              <w:jc w:val="left"/>
            </w:pPr>
            <w:r>
              <w:rPr>
                <w:bCs/>
                <w:b/>
              </w:rPr>
              <w:t xml:space="preserve">Dashboard Development &amp; Data Visualization:</w:t>
            </w:r>
            <w:r>
              <w:t xml:space="preserve"> </w:t>
            </w:r>
            <w:r>
              <w:t xml:space="preserve">Creation of interactive executive dashboards using Python (Plotly, Dash) and integration with the client's Power BI environment. The Data Scientist designed visualizations for key performance indicators including revenue forecasts, customer churn probability, and regional sales trends across the client's German distribution network. All dashboards were localized for German-speaking stakeholders and deployed on the client's on-premise servers in Berlin.</w:t>
            </w:r>
          </w:p>
        </w:tc>
        <w:tc>
          <w:tcPr/>
          <w:p>
            <w:pPr>
              <w:pStyle w:val="Compact"/>
              <w:jc w:val="left"/>
            </w:pPr>
            <w:r>
              <w:t xml:space="preserve">110.00</w:t>
            </w:r>
          </w:p>
        </w:tc>
        <w:tc>
          <w:tcPr/>
          <w:p>
            <w:pPr>
              <w:pStyle w:val="Compact"/>
              <w:jc w:val="left"/>
            </w:pPr>
            <w:r>
              <w:t xml:space="preserve">32</w:t>
            </w:r>
          </w:p>
        </w:tc>
        <w:tc>
          <w:tcPr/>
          <w:p>
            <w:pPr>
              <w:pStyle w:val="Compact"/>
              <w:jc w:val="left"/>
            </w:pPr>
            <w:r>
              <w:t xml:space="preserve">3,520.00</w:t>
            </w:r>
          </w:p>
        </w:tc>
        <w:tc>
          <w:tcPr/>
          <w:p>
            <w:pPr>
              <w:pStyle w:val="Compact"/>
              <w:jc w:val="left"/>
            </w:pPr>
            <w:r>
              <w:t xml:space="preserve">668.80</w:t>
            </w:r>
          </w:p>
        </w:tc>
      </w:tr>
      <w:tr>
        <w:tc>
          <w:tcPr/>
          <w:p>
            <w:pPr>
              <w:pStyle w:val="Compact"/>
              <w:jc w:val="left"/>
            </w:pPr>
            <w:r>
              <w:t xml:space="preserve">5</w:t>
            </w:r>
          </w:p>
        </w:tc>
        <w:tc>
          <w:tcPr/>
          <w:p>
            <w:pPr>
              <w:pStyle w:val="Compact"/>
              <w:jc w:val="left"/>
            </w:pPr>
            <w:r>
              <w:rPr>
                <w:bCs/>
                <w:b/>
              </w:rPr>
              <w:t xml:space="preserve">Technical Documentation &amp; Knowledge Transfer:</w:t>
            </w:r>
            <w:r>
              <w:t xml:space="preserve"> </w:t>
            </w:r>
            <w:r>
              <w:t xml:space="preserve">Comprehensive documentation of all Data Scientist deliverables, including model architecture diagrams, API specifications, data dictionary, and operational runbooks. Conducted four (4) knowledge transfer workshops with the client's internal data team in Berlin to ensure sustainable maintenance capability. All documentation was prepared in both English and German to comply with the client's internal reporting standards.</w:t>
            </w:r>
          </w:p>
        </w:tc>
        <w:tc>
          <w:tcPr/>
          <w:p>
            <w:pPr>
              <w:pStyle w:val="Compact"/>
              <w:jc w:val="left"/>
            </w:pPr>
            <w:r>
              <w:t xml:space="preserve">100.00</w:t>
            </w:r>
          </w:p>
        </w:tc>
        <w:tc>
          <w:tcPr/>
          <w:p>
            <w:pPr>
              <w:pStyle w:val="Compact"/>
              <w:jc w:val="left"/>
            </w:pPr>
            <w:r>
              <w:t xml:space="preserve">24</w:t>
            </w:r>
          </w:p>
        </w:tc>
        <w:tc>
          <w:tcPr/>
          <w:p>
            <w:pPr>
              <w:pStyle w:val="Compact"/>
              <w:jc w:val="left"/>
            </w:pPr>
            <w:r>
              <w:t xml:space="preserve">2,400.00</w:t>
            </w:r>
          </w:p>
        </w:tc>
        <w:tc>
          <w:tcPr/>
          <w:p>
            <w:pPr>
              <w:pStyle w:val="Compact"/>
              <w:jc w:val="left"/>
            </w:pPr>
            <w:r>
              <w:t xml:space="preserve">456.00</w:t>
            </w:r>
          </w:p>
        </w:tc>
      </w:tr>
      <w:tr>
        <w:tc>
          <w:tcPr/>
          <w:p>
            <w:pPr>
              <w:pStyle w:val="Compact"/>
              <w:jc w:val="left"/>
            </w:pPr>
            <w:r>
              <w:t xml:space="preserve">6</w:t>
            </w:r>
          </w:p>
        </w:tc>
        <w:tc>
          <w:tcPr/>
          <w:p>
            <w:pPr>
              <w:pStyle w:val="Compact"/>
              <w:jc w:val="left"/>
            </w:pPr>
            <w:r>
              <w:rPr>
                <w:bCs/>
                <w:b/>
              </w:rPr>
              <w:t xml:space="preserve">GDPR Compliance &amp; Data Governance Advisory:</w:t>
            </w:r>
            <w:r>
              <w:t xml:space="preserve"> </w:t>
            </w:r>
            <w:r>
              <w:t xml:space="preserve">The Data Scientist provided expert consultation on data protection compliance in accordance with the General Data Protection Regulation (GDPR) and the German Federal Data Protection Act (BDSG). This included data minimization strategies, anonymization techniques for training datasets, and documentation of data processing activities as required under Article 30 of the GDPR. A formal data protection impact assessment (DPIA) was prepared for the client's Berlin operations.</w:t>
            </w:r>
          </w:p>
        </w:tc>
        <w:tc>
          <w:tcPr/>
          <w:p>
            <w:pPr>
              <w:pStyle w:val="Compact"/>
              <w:jc w:val="left"/>
            </w:pPr>
            <w:r>
              <w:t xml:space="preserve">125.00</w:t>
            </w:r>
          </w:p>
        </w:tc>
        <w:tc>
          <w:tcPr/>
          <w:p>
            <w:pPr>
              <w:pStyle w:val="Compact"/>
              <w:jc w:val="left"/>
            </w:pPr>
            <w:r>
              <w:t xml:space="preserve">16</w:t>
            </w:r>
          </w:p>
        </w:tc>
        <w:tc>
          <w:tcPr/>
          <w:p>
            <w:pPr>
              <w:pStyle w:val="Compact"/>
              <w:jc w:val="left"/>
            </w:pPr>
            <w:r>
              <w:t xml:space="preserve">2,000.00</w:t>
            </w:r>
          </w:p>
        </w:tc>
        <w:tc>
          <w:tcPr/>
          <w:p>
            <w:pPr>
              <w:pStyle w:val="Compact"/>
              <w:jc w:val="left"/>
            </w:pPr>
            <w:r>
              <w:t xml:space="preserve">380.00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€ 30,960.00</w:t>
            </w:r>
          </w:p>
        </w:tc>
      </w:tr>
      <w:tr>
        <w:tc>
          <w:tcPr/>
          <w:p>
            <w:pPr>
              <w:pStyle w:val="Compact"/>
              <w:jc w:val="left"/>
            </w:pPr>
            <w:r>
              <w:t xml:space="preserve">VAT 19% (Mehrwertsteuer)</w:t>
            </w:r>
          </w:p>
        </w:tc>
        <w:tc>
          <w:tcPr/>
          <w:p>
            <w:pPr>
              <w:pStyle w:val="Compact"/>
              <w:jc w:val="right"/>
            </w:pPr>
            <w:r>
              <w:t xml:space="preserve">€ 5,882.40</w:t>
            </w:r>
          </w:p>
        </w:tc>
      </w:tr>
      <w:tr>
        <w:tc>
          <w:tcPr/>
          <w:p>
            <w:pPr>
              <w:pStyle w:val="Compact"/>
              <w:jc w:val="left"/>
            </w:pPr>
            <w:r>
              <w:t xml:space="preserve">Total Amount Due (Brutto)</w:t>
            </w:r>
          </w:p>
        </w:tc>
        <w:tc>
          <w:tcPr/>
          <w:p>
            <w:pPr>
              <w:pStyle w:val="Compact"/>
              <w:jc w:val="right"/>
            </w:pPr>
            <w:r>
              <w:t xml:space="preserve">€ 36,842.40</w:t>
            </w:r>
          </w:p>
        </w:tc>
      </w:tr>
    </w:tbl>
    <w:bookmarkStart w:id="24" w:name="payment-instructions-zahlungsbedingungen"/>
    <w:p>
      <w:pPr>
        <w:pStyle w:val="Heading3"/>
      </w:pPr>
      <w:r>
        <w:t xml:space="preserve">Payment Instructions (Zahlungsbedingungen)</w:t>
      </w:r>
    </w:p>
    <w:p>
      <w:pPr>
        <w:pStyle w:val="FirstParagraph"/>
      </w:pPr>
      <w:r>
        <w:rPr>
          <w:bCs/>
          <w:b/>
        </w:rPr>
        <w:t xml:space="preserve">Payment Method:</w:t>
      </w:r>
      <w:r>
        <w:t xml:space="preserve"> </w:t>
      </w:r>
      <w:r>
        <w:t xml:space="preserve">Bank Transfer (SEPA-Überweisung)</w:t>
      </w:r>
    </w:p>
    <w:p>
      <w:pPr>
        <w:pStyle w:val="BodyText"/>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DEUTDEBBXXX</w:t>
      </w:r>
    </w:p>
    <w:p>
      <w:pPr>
        <w:pStyle w:val="BodyText"/>
      </w:pPr>
      <w:r>
        <w:rPr>
          <w:bCs/>
          <w:b/>
        </w:rPr>
        <w:t xml:space="preserve">Reference (Verwendungszweck):</w:t>
      </w:r>
      <w:r>
        <w:t xml:space="preserve"> </w:t>
      </w:r>
      <w:r>
        <w:t xml:space="preserve">Rechnung 2024-DS-0087 / TV-DS-2024-031</w:t>
      </w:r>
    </w:p>
    <w:p>
      <w:pPr>
        <w:pStyle w:val="BodyText"/>
      </w:pPr>
      <w:r>
        <w:rPr>
          <w:bCs/>
          <w:b/>
        </w:rPr>
        <w:t xml:space="preserve">Payment Terms:</w:t>
      </w:r>
      <w:r>
        <w:t xml:space="preserve"> </w:t>
      </w:r>
      <w:r>
        <w:t xml:space="preserve">Net 30 days from date of issue. Payment is due no later than 15 July 2024.</w:t>
      </w:r>
    </w:p>
    <w:p>
      <w:pPr>
        <w:pStyle w:val="BodyText"/>
      </w:pPr>
      <w:r>
        <w:rPr>
          <w:bCs/>
          <w:b/>
        </w:rPr>
        <w:t xml:space="preserve">Penalty for Late Payment:</w:t>
      </w:r>
      <w:r>
        <w:t xml:space="preserve"> </w:t>
      </w:r>
      <w:r>
        <w:t xml:space="preserve">In accordance with § 288 of the German Civil Code (BGB), a default interest of 5 percentage points above the base rate applies to overdue amounts. Additionally, a flat fee of € 40.00 for dunning costs will be charged in the event of late payment.</w:t>
      </w:r>
    </w:p>
    <w:bookmarkEnd w:id="24"/>
    <w:bookmarkStart w:id="25" w:name="X9a91973c325d194926420908d495be74d4160d8"/>
    <w:p>
      <w:pPr>
        <w:pStyle w:val="Heading3"/>
      </w:pPr>
      <w:r>
        <w:t xml:space="preserve">Legal &amp; Regulatory Notes (Rechtliche Hinweise)</w:t>
      </w:r>
    </w:p>
    <w:p>
      <w:pPr>
        <w:pStyle w:val="FirstParagraph"/>
      </w:pPr>
      <w:r>
        <w:t xml:space="preserve">This invoice is issued in accordance with § 14 of the German VAT Act (Umsatzsteuergesetz – UStG) and § 4 No. 8 of the German Commercial Code (Handelsgesetzbuch – HGB). The services described herein were performed by a qualified Data Scientist operating as a sole proprietorship registered in Berlin, Germany. All work was conducted in compliance with applicable German labor regulations, data protection laws (GDPR, BDSG), and professional standards of the German Data Science Association (Deutscher Verband für Data Science).</w:t>
      </w:r>
    </w:p>
    <w:p>
      <w:pPr>
        <w:pStyle w:val="BodyText"/>
      </w:pPr>
      <w:r>
        <w:t xml:space="preserve">The Data Scientist services rendered under this invoice are subject to the standard terms and conditions of business (AGB) of Dr. Lena Hoffmann – Data Science Consulting, which are available upon request. The client acknowledges receipt of these terms by accepting this invoice. Any disputes arising from this invoice shall be governed by the laws of the Federal Republic of Germany, with exclusive jurisdiction of the competent courts in Berlin, Germany.</w:t>
      </w:r>
    </w:p>
    <w:p>
      <w:pPr>
        <w:pStyle w:val="BodyText"/>
      </w:pPr>
      <w:r>
        <w:t xml:space="preserve">This invoice constitutes a final and binding statement of services rendered during the specified project period. No additional charges will be incurred beyond the amounts stated herein unless a written change order is executed by both parties. The Data Scientist warrants that all deliverables are free from material defects and conform to the specifications outlined in Contract No. TV-DS-2024-031.</w:t>
      </w:r>
    </w:p>
    <w:p>
      <w:pPr>
        <w:pStyle w:val="BodyText"/>
      </w:pPr>
      <w:r>
        <w:t xml:space="preserve">Tax Note: The VAT (Mehrwertsteuer) of 19% has been applied as per the standard rate under § 12 UStG. This invoice is valid for tax deduction purposes under § 15 UStG for the recipient, provided all statutory requirements are met. The VAT ID number (USt-IdNr.) has been verified through the European VIES system.</w:t>
      </w:r>
    </w:p>
    <w:bookmarkEnd w:id="25"/>
    <w:p>
      <w:pPr>
        <w:pStyle w:val="BodyText"/>
      </w:pPr>
      <w:r>
        <w:t xml:space="preserve">Dr. Lena Hoffmann – Data Science Consulting | Leipziger Straße 142, 10117 Berlin, Germany</w:t>
      </w:r>
    </w:p>
    <w:p>
      <w:pPr>
        <w:pStyle w:val="BodyText"/>
      </w:pPr>
      <w:r>
        <w:t xml:space="preserve">VAT ID: DE 312 456 789 | HRB 123456 B, Amtsgericht Berlin-Charlottenburg</w:t>
      </w:r>
    </w:p>
    <w:p>
      <w:pPr>
        <w:pStyle w:val="BodyText"/>
      </w:pPr>
      <w:r>
        <w:t xml:space="preserve">This invoice was generated electronically and is valid without a physical signature pursuant to § 14 Abs. 4 UStG.</w:t>
      </w:r>
    </w:p>
    <w:p>
      <w:pPr>
        <w:pStyle w:val="BodyText"/>
      </w:pPr>
      <w:r>
        <w:t xml:space="preserve">Thank you for your business. We appreciate the opportunity to provide Data Scientist expertise to your organization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Berlin, Germany</dc:title>
  <dc:creator/>
  <dc:language>en</dc:language>
  <cp:keywords/>
  <dcterms:created xsi:type="dcterms:W3CDTF">2026-10-10T06:47:50Z</dcterms:created>
  <dcterms:modified xsi:type="dcterms:W3CDTF">2026-10-10T06:47:50Z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