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neuroanalytics-gmbh"/>
    <w:p>
      <w:pPr>
        <w:pStyle w:val="Heading1"/>
      </w:pPr>
      <w:r>
        <w:t xml:space="preserve">NeuroAnalytics GmbH</w:t>
      </w:r>
    </w:p>
    <w:p>
      <w:pPr>
        <w:pStyle w:val="FirstParagraph"/>
      </w:pPr>
      <w:r>
        <w:t xml:space="preserve">Frankfurter Straße 245</w:t>
      </w:r>
    </w:p>
    <w:p>
      <w:pPr>
        <w:pStyle w:val="BodyText"/>
      </w:pPr>
      <w:r>
        <w:t xml:space="preserve">60311 Frankfurt am Main, Germany</w:t>
      </w:r>
    </w:p>
    <w:p>
      <w:pPr>
        <w:pStyle w:val="BodyText"/>
      </w:pPr>
      <w:r>
        <w:t xml:space="preserve">Phone: +49 69 1234 5678</w:t>
      </w:r>
    </w:p>
    <w:p>
      <w:pPr>
        <w:pStyle w:val="BodyText"/>
      </w:pPr>
      <w:r>
        <w:t xml:space="preserve">Email: billing@neuroanalytics.de</w:t>
      </w:r>
    </w:p>
    <w:p>
      <w:pPr>
        <w:pStyle w:val="BodyText"/>
      </w:pPr>
      <w:r>
        <w:t xml:space="preserve">USt-IdNr.: DE 312 456 789</w:t>
      </w:r>
    </w:p>
    <w:p>
      <w:pPr>
        <w:pStyle w:val="BodyText"/>
      </w:pPr>
      <w:r>
        <w:t xml:space="preserve">HRB: Frankfurt am Main HRB 89456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NA-2025-0487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Data Scientist Services</w:t>
      </w:r>
    </w:p>
    <w:bookmarkEnd w:id="21"/>
    <w:bookmarkStart w:id="22" w:name="billed-to"/>
    <w:p>
      <w:pPr>
        <w:pStyle w:val="Heading3"/>
      </w:pPr>
      <w:r>
        <w:t xml:space="preserve">Billed To</w:t>
      </w:r>
    </w:p>
    <w:p>
      <w:pPr>
        <w:pStyle w:val="FirstParagraph"/>
      </w:pPr>
      <w:r>
        <w:rPr>
          <w:bCs/>
          <w:b/>
        </w:rPr>
        <w:t xml:space="preserve">Meridian Financial Group AG</w:t>
      </w:r>
    </w:p>
    <w:p>
      <w:pPr>
        <w:pStyle w:val="BodyText"/>
      </w:pPr>
      <w:r>
        <w:t xml:space="preserve">Attn: Dr. Klaus Reinhardt, Head of Analytics</w:t>
      </w:r>
    </w:p>
    <w:p>
      <w:pPr>
        <w:pStyle w:val="BodyText"/>
      </w:pPr>
      <w:r>
        <w:t xml:space="preserve">Bockenheimer Landstraße 18</w:t>
      </w:r>
    </w:p>
    <w:p>
      <w:pPr>
        <w:pStyle w:val="BodyText"/>
      </w:pPr>
      <w:r>
        <w:t xml:space="preserve">60323 Frankfurt am Main, Germany</w:t>
      </w:r>
    </w:p>
    <w:p>
      <w:pPr>
        <w:pStyle w:val="BodyText"/>
      </w:pPr>
      <w:r>
        <w:t xml:space="preserve">VAT ID: DE 298 765 432</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Predictive Risk Modeling Platform</w:t>
      </w:r>
    </w:p>
    <w:p>
      <w:pPr>
        <w:pStyle w:val="BodyText"/>
      </w:pPr>
      <w:r>
        <w:rPr>
          <w:bCs/>
          <w:b/>
        </w:rPr>
        <w:t xml:space="preserve">Contract No.:</w:t>
      </w:r>
      <w:r>
        <w:t xml:space="preserve"> </w:t>
      </w:r>
      <w:r>
        <w:t xml:space="preserve">MFG-NA-2025-012</w:t>
      </w:r>
    </w:p>
    <w:p>
      <w:pPr>
        <w:pStyle w:val="BodyText"/>
      </w:pPr>
      <w:r>
        <w:rPr>
          <w:bCs/>
          <w:b/>
        </w:rPr>
        <w:t xml:space="preserve">Location:</w:t>
      </w:r>
      <w:r>
        <w:t xml:space="preserve"> </w:t>
      </w:r>
      <w:r>
        <w:t xml:space="preserve">Germany Frankfurt</w:t>
      </w:r>
    </w:p>
    <w:p>
      <w:pPr>
        <w:pStyle w:val="BodyText"/>
      </w:pPr>
      <w:r>
        <w:rPr>
          <w:bCs/>
          <w:b/>
        </w:rPr>
        <w:t xml:space="preserve">Lead Data Scientist:</w:t>
      </w:r>
      <w:r>
        <w:t xml:space="preserve"> </w:t>
      </w:r>
      <w:r>
        <w:t xml:space="preserve">Dr. Elena Vasquez, PhD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Deliverable / Milestone</w:t>
            </w:r>
          </w:p>
        </w:tc>
      </w:tr>
      <w:tr>
        <w:tc>
          <w:tcPr/>
          <w:p>
            <w:pPr>
              <w:pStyle w:val="Compact"/>
              <w:jc w:val="left"/>
            </w:pPr>
            <w:r>
              <w:t xml:space="preserve">1</w:t>
            </w:r>
          </w:p>
        </w:tc>
        <w:tc>
          <w:tcPr/>
          <w:p>
            <w:pPr>
              <w:pStyle w:val="Compact"/>
              <w:jc w:val="left"/>
            </w:pPr>
            <w:r>
              <w:t xml:space="preserve">Senior Data Scientist – Predictive Model Development &amp; Feature Engineering for Credit Risk Assessment</w:t>
            </w:r>
          </w:p>
        </w:tc>
        <w:tc>
          <w:tcPr/>
          <w:p>
            <w:pPr>
              <w:pStyle w:val="Compact"/>
              <w:jc w:val="left"/>
            </w:pPr>
            <w:r>
              <w:t xml:space="preserve">145.00</w:t>
            </w:r>
          </w:p>
        </w:tc>
        <w:tc>
          <w:tcPr/>
          <w:p>
            <w:pPr>
              <w:pStyle w:val="Compact"/>
              <w:jc w:val="left"/>
            </w:pPr>
            <w:r>
              <w:t xml:space="preserve">80</w:t>
            </w:r>
          </w:p>
        </w:tc>
        <w:tc>
          <w:tcPr/>
          <w:p>
            <w:pPr>
              <w:pStyle w:val="Compact"/>
              <w:jc w:val="left"/>
            </w:pPr>
            <w:r>
              <w:t xml:space="preserve">11,600.00</w:t>
            </w:r>
          </w:p>
        </w:tc>
        <w:tc>
          <w:tcPr/>
          <w:p>
            <w:pPr>
              <w:pStyle w:val="Compact"/>
              <w:jc w:val="left"/>
            </w:pPr>
            <w:r>
              <w:t xml:space="preserve">Model v2.1 delivered</w:t>
            </w:r>
          </w:p>
        </w:tc>
      </w:tr>
      <w:tr>
        <w:tc>
          <w:tcPr/>
          <w:p>
            <w:pPr>
              <w:pStyle w:val="Compact"/>
              <w:jc w:val="left"/>
            </w:pPr>
            <w:r>
              <w:t xml:space="preserve">2</w:t>
            </w:r>
          </w:p>
        </w:tc>
        <w:tc>
          <w:tcPr/>
          <w:p>
            <w:pPr>
              <w:pStyle w:val="Compact"/>
              <w:jc w:val="left"/>
            </w:pPr>
            <w:r>
              <w:t xml:space="preserve">Data Scientist – Machine Learning Pipeline Architecture &amp; MLOps Integration (Python, TensorFlow, AWS SageMaker)</w:t>
            </w:r>
          </w:p>
        </w:tc>
        <w:tc>
          <w:tcPr/>
          <w:p>
            <w:pPr>
              <w:pStyle w:val="Compact"/>
              <w:jc w:val="left"/>
            </w:pPr>
            <w:r>
              <w:t xml:space="preserve">135.00</w:t>
            </w:r>
          </w:p>
        </w:tc>
        <w:tc>
          <w:tcPr/>
          <w:p>
            <w:pPr>
              <w:pStyle w:val="Compact"/>
              <w:jc w:val="left"/>
            </w:pPr>
            <w:r>
              <w:t xml:space="preserve">60</w:t>
            </w:r>
          </w:p>
        </w:tc>
        <w:tc>
          <w:tcPr/>
          <w:p>
            <w:pPr>
              <w:pStyle w:val="Compact"/>
              <w:jc w:val="left"/>
            </w:pPr>
            <w:r>
              <w:t xml:space="preserve">8,100.00</w:t>
            </w:r>
          </w:p>
        </w:tc>
        <w:tc>
          <w:tcPr/>
          <w:p>
            <w:pPr>
              <w:pStyle w:val="Compact"/>
              <w:jc w:val="left"/>
            </w:pPr>
            <w:r>
              <w:t xml:space="preserve">Pipeline deployed to prod</w:t>
            </w:r>
          </w:p>
        </w:tc>
      </w:tr>
      <w:tr>
        <w:tc>
          <w:tcPr/>
          <w:p>
            <w:pPr>
              <w:pStyle w:val="Compact"/>
              <w:jc w:val="left"/>
            </w:pPr>
            <w:r>
              <w:t xml:space="preserve">3</w:t>
            </w:r>
          </w:p>
        </w:tc>
        <w:tc>
          <w:tcPr/>
          <w:p>
            <w:pPr>
              <w:pStyle w:val="Compact"/>
              <w:jc w:val="left"/>
            </w:pPr>
            <w:r>
              <w:t xml:space="preserve">Data Scientist – Exploratory Data Analysis &amp; Statistical Reporting for Quarterly Portfolio Review</w:t>
            </w:r>
          </w:p>
        </w:tc>
        <w:tc>
          <w:tcPr/>
          <w:p>
            <w:pPr>
              <w:pStyle w:val="Compact"/>
              <w:jc w:val="left"/>
            </w:pPr>
            <w:r>
              <w:t xml:space="preserve">120.00</w:t>
            </w:r>
          </w:p>
        </w:tc>
        <w:tc>
          <w:tcPr/>
          <w:p>
            <w:pPr>
              <w:pStyle w:val="Compact"/>
              <w:jc w:val="left"/>
            </w:pPr>
            <w:r>
              <w:t xml:space="preserve">40</w:t>
            </w:r>
          </w:p>
        </w:tc>
        <w:tc>
          <w:tcPr/>
          <w:p>
            <w:pPr>
              <w:pStyle w:val="Compact"/>
              <w:jc w:val="left"/>
            </w:pPr>
            <w:r>
              <w:t xml:space="preserve">4,800.00</w:t>
            </w:r>
          </w:p>
        </w:tc>
        <w:tc>
          <w:tcPr/>
          <w:p>
            <w:pPr>
              <w:pStyle w:val="Compact"/>
              <w:jc w:val="left"/>
            </w:pPr>
            <w:r>
              <w:t xml:space="preserve">Q2 Analytics Report</w:t>
            </w:r>
          </w:p>
        </w:tc>
      </w:tr>
      <w:tr>
        <w:tc>
          <w:tcPr/>
          <w:p>
            <w:pPr>
              <w:pStyle w:val="Compact"/>
              <w:jc w:val="left"/>
            </w:pPr>
            <w:r>
              <w:t xml:space="preserve">4</w:t>
            </w:r>
          </w:p>
        </w:tc>
        <w:tc>
          <w:tcPr/>
          <w:p>
            <w:pPr>
              <w:pStyle w:val="Compact"/>
              <w:jc w:val="left"/>
            </w:pPr>
            <w:r>
              <w:t xml:space="preserve">Data Scientist – NLP Sentiment Analysis Module for Customer Feedback Integration</w:t>
            </w:r>
          </w:p>
        </w:tc>
        <w:tc>
          <w:tcPr/>
          <w:p>
            <w:pPr>
              <w:pStyle w:val="Compact"/>
              <w:jc w:val="left"/>
            </w:pPr>
            <w:r>
              <w:t xml:space="preserve">140.00</w:t>
            </w:r>
          </w:p>
        </w:tc>
        <w:tc>
          <w:tcPr/>
          <w:p>
            <w:pPr>
              <w:pStyle w:val="Compact"/>
              <w:jc w:val="left"/>
            </w:pPr>
            <w:r>
              <w:t xml:space="preserve">32</w:t>
            </w:r>
          </w:p>
        </w:tc>
        <w:tc>
          <w:tcPr/>
          <w:p>
            <w:pPr>
              <w:pStyle w:val="Compact"/>
              <w:jc w:val="left"/>
            </w:pPr>
            <w:r>
              <w:t xml:space="preserve">4,480.00</w:t>
            </w:r>
          </w:p>
        </w:tc>
        <w:tc>
          <w:tcPr/>
          <w:p>
            <w:pPr>
              <w:pStyle w:val="Compact"/>
              <w:jc w:val="left"/>
            </w:pPr>
            <w:r>
              <w:t xml:space="preserve">NLP module v1.0</w:t>
            </w:r>
          </w:p>
        </w:tc>
      </w:tr>
      <w:tr>
        <w:tc>
          <w:tcPr/>
          <w:p>
            <w:pPr>
              <w:pStyle w:val="Compact"/>
              <w:jc w:val="left"/>
            </w:pPr>
            <w:r>
              <w:t xml:space="preserve">5</w:t>
            </w:r>
          </w:p>
        </w:tc>
        <w:tc>
          <w:tcPr/>
          <w:p>
            <w:pPr>
              <w:pStyle w:val="Compact"/>
              <w:jc w:val="left"/>
            </w:pPr>
            <w:r>
              <w:t xml:space="preserve">Data Scientist – On-site Consultation &amp; Stakeholder Workshops in Germany Frankfurt Office</w:t>
            </w:r>
          </w:p>
        </w:tc>
        <w:tc>
          <w:tcPr/>
          <w:p>
            <w:pPr>
              <w:pStyle w:val="Compact"/>
              <w:jc w:val="left"/>
            </w:pPr>
            <w:r>
              <w:t xml:space="preserve">150.00</w:t>
            </w:r>
          </w:p>
        </w:tc>
        <w:tc>
          <w:tcPr/>
          <w:p>
            <w:pPr>
              <w:pStyle w:val="Compact"/>
              <w:jc w:val="left"/>
            </w:pPr>
            <w:r>
              <w:t xml:space="preserve">16</w:t>
            </w:r>
          </w:p>
        </w:tc>
        <w:tc>
          <w:tcPr/>
          <w:p>
            <w:pPr>
              <w:pStyle w:val="Compact"/>
              <w:jc w:val="left"/>
            </w:pPr>
            <w:r>
              <w:t xml:space="preserve">2,400.00</w:t>
            </w:r>
          </w:p>
        </w:tc>
        <w:tc>
          <w:tcPr/>
          <w:p>
            <w:pPr>
              <w:pStyle w:val="Compact"/>
              <w:jc w:val="left"/>
            </w:pPr>
            <w:r>
              <w:t xml:space="preserve">3 workshops conducted</w:t>
            </w:r>
          </w:p>
        </w:tc>
      </w:tr>
      <w:tr>
        <w:tc>
          <w:tcPr/>
          <w:p>
            <w:pPr>
              <w:pStyle w:val="Compact"/>
              <w:jc w:val="left"/>
            </w:pPr>
            <w:r>
              <w:t xml:space="preserve">6</w:t>
            </w:r>
          </w:p>
        </w:tc>
        <w:tc>
          <w:tcPr/>
          <w:p>
            <w:pPr>
              <w:pStyle w:val="Compact"/>
              <w:jc w:val="left"/>
            </w:pPr>
            <w:r>
              <w:t xml:space="preserve">Data Scientist – Model Validation, Backtesting &amp; Regulatory Compliance Documentation (BaFin Standards)</w:t>
            </w:r>
          </w:p>
        </w:tc>
        <w:tc>
          <w:tcPr/>
          <w:p>
            <w:pPr>
              <w:pStyle w:val="Compact"/>
              <w:jc w:val="left"/>
            </w:pPr>
            <w:r>
              <w:t xml:space="preserve">130.00</w:t>
            </w:r>
          </w:p>
        </w:tc>
        <w:tc>
          <w:tcPr/>
          <w:p>
            <w:pPr>
              <w:pStyle w:val="Compact"/>
              <w:jc w:val="left"/>
            </w:pPr>
            <w:r>
              <w:t xml:space="preserve">24</w:t>
            </w:r>
          </w:p>
        </w:tc>
        <w:tc>
          <w:tcPr/>
          <w:p>
            <w:pPr>
              <w:pStyle w:val="Compact"/>
              <w:jc w:val="left"/>
            </w:pPr>
            <w:r>
              <w:t xml:space="preserve">3,120.00</w:t>
            </w:r>
          </w:p>
        </w:tc>
        <w:tc>
          <w:tcPr/>
          <w:p>
            <w:pPr>
              <w:pStyle w:val="Compact"/>
              <w:jc w:val="left"/>
            </w:pPr>
            <w:r>
              <w:t xml:space="preserve">Compliance dossier</w:t>
            </w:r>
          </w:p>
        </w:tc>
      </w:tr>
    </w:tbl>
    <w:p>
      <w:pPr>
        <w:pStyle w:val="BodyText"/>
      </w:pPr>
      <w:r>
        <w:t xml:space="preserve">Subtotal</w:t>
      </w:r>
      <w:r>
        <w:t xml:space="preserve">34,500.00 EUR</w:t>
      </w:r>
    </w:p>
    <w:p>
      <w:pPr>
        <w:pStyle w:val="BodyText"/>
      </w:pPr>
      <w:r>
        <w:t xml:space="preserve">VAT (19% – Germany)</w:t>
      </w:r>
      <w:r>
        <w:t xml:space="preserve">6,555.00 EUR</w:t>
      </w:r>
    </w:p>
    <w:p>
      <w:pPr>
        <w:pStyle w:val="BodyText"/>
      </w:pPr>
      <w:r>
        <w:t xml:space="preserve">Grand Total</w:t>
      </w:r>
      <w:r>
        <w:t xml:space="preserve">41,055.00 EUR</w:t>
      </w:r>
    </w:p>
    <w:bookmarkStart w:id="24" w:name="payment-instructions"/>
    <w:p>
      <w:pPr>
        <w:pStyle w:val="Heading3"/>
      </w:pPr>
      <w:r>
        <w:t xml:space="preserve">Payment Instructions</w:t>
      </w:r>
    </w:p>
    <w:p>
      <w:pPr>
        <w:pStyle w:val="FirstParagraph"/>
      </w:pPr>
      <w:r>
        <w:t xml:space="preserve">This Invoice must be settled in full by the due date of 30 June 2025 via bank transfer (SEPA) to the following account:</w:t>
      </w:r>
    </w:p>
    <w:p>
      <w:pPr>
        <w:pStyle w:val="BodyText"/>
      </w:pPr>
      <w:r>
        <w:rPr>
          <w:bCs/>
          <w:b/>
        </w:rPr>
        <w:t xml:space="preserve">Bank:</w:t>
      </w:r>
      <w:r>
        <w:t xml:space="preserve"> </w:t>
      </w:r>
      <w:r>
        <w:t xml:space="preserve">Commerzbank AG, Frankfurt am Main</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w:t>
      </w:r>
    </w:p>
    <w:p>
      <w:pPr>
        <w:pStyle w:val="BodyText"/>
      </w:pPr>
      <w:r>
        <w:rPr>
          <w:bCs/>
          <w:b/>
        </w:rPr>
        <w:t xml:space="preserve">Reference:</w:t>
      </w:r>
      <w:r>
        <w:t xml:space="preserve"> </w:t>
      </w:r>
      <w:r>
        <w:t xml:space="preserve">NA-2025-0487 / MFG-NA-2025-012</w:t>
      </w:r>
    </w:p>
    <w:p>
      <w:pPr>
        <w:pStyle w:val="BodyText"/>
      </w:pPr>
      <w:r>
        <w:t xml:space="preserve">Please ensure the Invoice number is included in the payment reference to facilitate accurate reconciliation of this Data Scientist engagement.</w:t>
      </w:r>
    </w:p>
    <w:bookmarkEnd w:id="24"/>
    <w:bookmarkStart w:id="25" w:name="notes-terms"/>
    <w:p>
      <w:pPr>
        <w:pStyle w:val="Heading3"/>
      </w:pPr>
      <w:r>
        <w:t xml:space="preserve">Notes &amp; Terms</w:t>
      </w:r>
    </w:p>
    <w:p>
      <w:pPr>
        <w:pStyle w:val="FirstParagraph"/>
      </w:pPr>
      <w:r>
        <w:t xml:space="preserve">1. This Invoice covers all Data Scientist professional services rendered by NeuroAnalytics GmbH to Meridian Financial Group AG during the service period of May 2025, performed primarily at the client's premises in Germany Frankfurt and remotely.</w:t>
      </w:r>
    </w:p>
    <w:p>
      <w:pPr>
        <w:pStyle w:val="BodyText"/>
      </w:pPr>
      <w:r>
        <w:t xml:space="preserve">2. All rates quoted are exclusive of German Value Added Tax (Mehrwertsteuer) at the standard rate of 19%, as applicable under the German Tax Code (Abgabenordnung). The VAT amount is calculated and itemized above in accordance with § 14 UStG.</w:t>
      </w:r>
    </w:p>
    <w:p>
      <w:pPr>
        <w:pStyle w:val="BodyText"/>
      </w:pPr>
      <w:r>
        <w:t xml:space="preserve">3. In the event of non-payment by the due date, late payment interest shall accrue at the statutory rate of 9 percentage points above the European Central Bank base rate, in compliance with § 288 of the German Civil Code (BGB).</w:t>
      </w:r>
    </w:p>
    <w:p>
      <w:pPr>
        <w:pStyle w:val="BodyText"/>
      </w:pPr>
      <w:r>
        <w:t xml:space="preserve">4. All intellectual property, including but not limited to predictive models, algorithms, feature sets, and analytical code developed by the Data Scientist team under this contract, shall become the exclusive property of Meridian Financial Group AG upon full settlement of this Invoice.</w:t>
      </w:r>
    </w:p>
    <w:p>
      <w:pPr>
        <w:pStyle w:val="BodyText"/>
      </w:pPr>
      <w:r>
        <w:t xml:space="preserve">5. This Invoice is issued in accordance with the German Invoice Ordinance (Rechnungsstellungsverordnung – § 14 UStG) and the requirements of the Federal Central Tax Office (Bundeszentralamt für Steuern). The Data Scientist services described herein are classified under the German tax code as consulting and IT services.</w:t>
      </w:r>
    </w:p>
    <w:p>
      <w:pPr>
        <w:pStyle w:val="BodyText"/>
      </w:pPr>
      <w:r>
        <w:t xml:space="preserve">6. Any disputes arising from this Invoice or the underlying Data Scientist engagement shall be governed by the laws of the Federal Republic of Germany, with exclusive jurisdiction vested in the courts of Frankfurt am Main, Germany.</w:t>
      </w:r>
    </w:p>
    <w:p>
      <w:pPr>
        <w:pStyle w:val="BodyText"/>
      </w:pPr>
      <w:r>
        <w:t xml:space="preserve">7. NeuroAnalytics GmbH confirms that all Data Scientist personnel assigned to this project in Germany Frankfurt are properly registered, insured, and in full compliance with German labor and social security regulations.</w:t>
      </w:r>
    </w:p>
    <w:bookmarkEnd w:id="25"/>
    <w:p>
      <w:pPr>
        <w:pStyle w:val="BodyText"/>
      </w:pPr>
      <w:r>
        <w:rPr>
          <w:bCs/>
          <w:b/>
        </w:rPr>
        <w:t xml:space="preserve">NeuroAnalytics GmbH</w:t>
      </w:r>
      <w:r>
        <w:t xml:space="preserve"> </w:t>
      </w:r>
      <w:r>
        <w:t xml:space="preserve">– Data Science &amp; Analytics Consulting</w:t>
      </w:r>
    </w:p>
    <w:p>
      <w:pPr>
        <w:pStyle w:val="BodyText"/>
      </w:pPr>
      <w:r>
        <w:t xml:space="preserve">Frankfurter Straße 245, 60311 Frankfurt am Main, Germany | USt-IdNr.: DE 312 456 789 | HRB Frankfurt am Main 89456</w:t>
      </w:r>
    </w:p>
    <w:p>
      <w:pPr>
        <w:pStyle w:val="BodyText"/>
      </w:pPr>
      <w:r>
        <w:t xml:space="preserve">Managing Director: Prof. Dr. Heinrich Müller | Commercial Register: Amtsgericht Frankfurt am Main</w:t>
      </w:r>
    </w:p>
    <w:p>
      <w:pPr>
        <w:pStyle w:val="BodyText"/>
      </w:pPr>
      <w:r>
        <w:t xml:space="preserve">This Invoice was generated electronically and is valid without a physical signature pursuant to § 14 Abs. 4 UStG.</w:t>
      </w:r>
    </w:p>
    <w:p>
      <w:pPr>
        <w:pStyle w:val="BodyText"/>
      </w:pPr>
      <w:r>
        <w:t xml:space="preserve">Thank you for your business. We appreciate the opportunity to provide our Data Scientist expertise to your organization in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Germany Frankfurt</dc:title>
  <dc:creator/>
  <dc:language>en</dc:language>
  <cp:keywords/>
  <dcterms:created xsi:type="dcterms:W3CDTF">2026-10-10T02:29:25Z</dcterms:created>
  <dcterms:modified xsi:type="dcterms:W3CDTF">2026-10-10T02:29:25Z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