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Indonesia</w:t>
      </w:r>
      <w:r>
        <w:t xml:space="preserve"> </w:t>
      </w:r>
      <w:r>
        <w:t xml:space="preserve">Jakarta</w:t>
      </w:r>
    </w:p>
    <w:p>
      <w:pPr>
        <w:pStyle w:val="FirstParagraph"/>
      </w:pPr>
      <w:r>
        <w:t xml:space="preserve">INVOICE</w:t>
      </w:r>
    </w:p>
    <w:p>
      <w:pPr>
        <w:pStyle w:val="BodyText"/>
      </w:pPr>
      <w:r>
        <w:t xml:space="preserve">Professional Data Scientist Services</w:t>
      </w:r>
    </w:p>
    <w:p>
      <w:pPr>
        <w:pStyle w:val="BodyText"/>
      </w:pPr>
      <w:r>
        <w:t xml:space="preserve">PAID</w:t>
      </w:r>
    </w:p>
    <w:bookmarkStart w:id="20" w:name="invoice-number"/>
    <w:p>
      <w:pPr>
        <w:pStyle w:val="Heading3"/>
      </w:pPr>
      <w:r>
        <w:t xml:space="preserve">Invoice Number:</w:t>
      </w:r>
    </w:p>
    <w:p>
      <w:pPr>
        <w:pStyle w:val="FirstParagraph"/>
      </w:pPr>
      <w:r>
        <w:t xml:space="preserve">INV-JKT-2025-00472</w:t>
      </w:r>
    </w:p>
    <w:bookmarkEnd w:id="20"/>
    <w:bookmarkStart w:id="21" w:name="invoice-date"/>
    <w:p>
      <w:pPr>
        <w:pStyle w:val="Heading3"/>
      </w:pPr>
      <w:r>
        <w:t xml:space="preserve">Invoice Date:</w:t>
      </w:r>
    </w:p>
    <w:p>
      <w:pPr>
        <w:pStyle w:val="FirstParagraph"/>
      </w:pPr>
      <w:r>
        <w:t xml:space="preserve">15 June 2025</w:t>
      </w:r>
    </w:p>
    <w:bookmarkEnd w:id="21"/>
    <w:bookmarkStart w:id="22" w:name="due-date"/>
    <w:p>
      <w:pPr>
        <w:pStyle w:val="Heading3"/>
      </w:pPr>
      <w:r>
        <w:t xml:space="preserve">Due Date:</w:t>
      </w:r>
    </w:p>
    <w:p>
      <w:pPr>
        <w:pStyle w:val="FirstParagraph"/>
      </w:pPr>
      <w:r>
        <w:t xml:space="preserve">30 June 2025</w:t>
      </w:r>
    </w:p>
    <w:bookmarkEnd w:id="22"/>
    <w:bookmarkStart w:id="23" w:name="service-location"/>
    <w:p>
      <w:pPr>
        <w:pStyle w:val="Heading3"/>
      </w:pPr>
      <w:r>
        <w:t xml:space="preserve">Service Location:</w:t>
      </w:r>
    </w:p>
    <w:p>
      <w:pPr>
        <w:pStyle w:val="FirstParagraph"/>
      </w:pPr>
      <w:r>
        <w:t xml:space="preserve">Indonesia Jakarta</w:t>
      </w:r>
    </w:p>
    <w:bookmarkEnd w:id="23"/>
    <w:bookmarkStart w:id="24" w:name="billed-to-client"/>
    <w:p>
      <w:pPr>
        <w:pStyle w:val="Heading4"/>
      </w:pPr>
      <w:r>
        <w:t xml:space="preserve">Billed To (Client)</w:t>
      </w:r>
    </w:p>
    <w:p>
      <w:pPr>
        <w:pStyle w:val="FirstParagraph"/>
      </w:pPr>
      <w:r>
        <w:rPr>
          <w:bCs/>
          <w:b/>
        </w:rPr>
        <w:t xml:space="preserve">PT Nusantara Digital Solutions</w:t>
      </w:r>
    </w:p>
    <w:p>
      <w:pPr>
        <w:pStyle w:val="BodyText"/>
      </w:pPr>
      <w:r>
        <w:t xml:space="preserve">Attn: Mr. Budi Santoso, Chief Technology Officer</w:t>
      </w:r>
    </w:p>
    <w:p>
      <w:pPr>
        <w:pStyle w:val="BodyText"/>
      </w:pPr>
      <w:r>
        <w:t xml:space="preserve">Jl. Jend. Sudirman Kav. 52-53, SCBD</w:t>
      </w:r>
    </w:p>
    <w:p>
      <w:pPr>
        <w:pStyle w:val="BodyText"/>
      </w:pPr>
      <w:r>
        <w:t xml:space="preserve">Jakarta Selatan, Indonesia Jakarta 12190</w:t>
      </w:r>
    </w:p>
    <w:p>
      <w:pPr>
        <w:pStyle w:val="BodyText"/>
      </w:pPr>
      <w:r>
        <w:t xml:space="preserve">Tax ID (NPWP): 02.345.678.9-012.000</w:t>
      </w:r>
    </w:p>
    <w:p>
      <w:pPr>
        <w:pStyle w:val="BodyText"/>
      </w:pPr>
      <w:r>
        <w:t xml:space="preserve">Email: budi.santoso@nusantarasol.co.id</w:t>
      </w:r>
    </w:p>
    <w:bookmarkEnd w:id="24"/>
    <w:bookmarkStart w:id="25" w:name="issued-by-service-provider"/>
    <w:p>
      <w:pPr>
        <w:pStyle w:val="Heading4"/>
      </w:pPr>
      <w:r>
        <w:t xml:space="preserve">Issued By (Service Provider)</w:t>
      </w:r>
    </w:p>
    <w:p>
      <w:pPr>
        <w:pStyle w:val="FirstParagraph"/>
      </w:pPr>
      <w:r>
        <w:rPr>
          <w:bCs/>
          <w:b/>
        </w:rPr>
        <w:t xml:space="preserve">Dr. Anisa Wijaya, PhD – Data Scientist</w:t>
      </w:r>
    </w:p>
    <w:p>
      <w:pPr>
        <w:pStyle w:val="BodyText"/>
      </w:pPr>
      <w:r>
        <w:t xml:space="preserve">Freelance Data Scientist &amp; Analytics Consultant</w:t>
      </w:r>
    </w:p>
    <w:p>
      <w:pPr>
        <w:pStyle w:val="BodyText"/>
      </w:pPr>
      <w:r>
        <w:t xml:space="preserve">Jl. Kemang Raya No. 88, Blok C-12</w:t>
      </w:r>
    </w:p>
    <w:p>
      <w:pPr>
        <w:pStyle w:val="BodyText"/>
      </w:pPr>
      <w:r>
        <w:t xml:space="preserve">Jakarta Selatan, Indonesia Jakarta 12730</w:t>
      </w:r>
    </w:p>
    <w:p>
      <w:pPr>
        <w:pStyle w:val="BodyText"/>
      </w:pPr>
      <w:r>
        <w:t xml:space="preserve">Tax ID (NPWP): 09.876.543.2-034.000</w:t>
      </w:r>
    </w:p>
    <w:p>
      <w:pPr>
        <w:pStyle w:val="BodyText"/>
      </w:pPr>
      <w:r>
        <w:t xml:space="preserve">Email: anisa.wijaya@datascientist.id</w:t>
      </w:r>
    </w:p>
    <w:bookmarkEnd w:id="25"/>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Duration / Qty</w:t>
            </w:r>
          </w:p>
        </w:tc>
        <w:tc>
          <w:tcPr/>
          <w:p>
            <w:pPr>
              <w:pStyle w:val="Compact"/>
              <w:jc w:val="left"/>
            </w:pPr>
            <w:r>
              <w:t xml:space="preserve">Rate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Machine Learning Model Development – Predictive Analytics for Customer Churn (Data Scientist engagement, on-site at Indonesia Jakarta office)</w:t>
            </w:r>
          </w:p>
        </w:tc>
        <w:tc>
          <w:tcPr/>
          <w:p>
            <w:pPr>
              <w:pStyle w:val="Compact"/>
              <w:jc w:val="left"/>
            </w:pPr>
            <w:r>
              <w:t xml:space="preserve">40 hours</w:t>
            </w:r>
          </w:p>
        </w:tc>
        <w:tc>
          <w:tcPr/>
          <w:p>
            <w:pPr>
              <w:pStyle w:val="Compact"/>
              <w:jc w:val="left"/>
            </w:pPr>
            <w:r>
              <w:t xml:space="preserve">1,500,000</w:t>
            </w:r>
          </w:p>
        </w:tc>
        <w:tc>
          <w:tcPr/>
          <w:p>
            <w:pPr>
              <w:pStyle w:val="Compact"/>
              <w:jc w:val="left"/>
            </w:pPr>
            <w:r>
              <w:t xml:space="preserve">60,000,000</w:t>
            </w:r>
          </w:p>
        </w:tc>
      </w:tr>
      <w:tr>
        <w:tc>
          <w:tcPr/>
          <w:p>
            <w:pPr>
              <w:pStyle w:val="Compact"/>
              <w:jc w:val="left"/>
            </w:pPr>
            <w:r>
              <w:t xml:space="preserve">2</w:t>
            </w:r>
          </w:p>
        </w:tc>
        <w:tc>
          <w:tcPr/>
          <w:p>
            <w:pPr>
              <w:pStyle w:val="Compact"/>
              <w:jc w:val="left"/>
            </w:pPr>
            <w:r>
              <w:t xml:space="preserve">Data Pipeline Architecture &amp; ETL Design – Building scalable data infrastructure for real-time analytics (Data Scientist consulting)</w:t>
            </w:r>
          </w:p>
        </w:tc>
        <w:tc>
          <w:tcPr/>
          <w:p>
            <w:pPr>
              <w:pStyle w:val="Compact"/>
              <w:jc w:val="left"/>
            </w:pPr>
            <w:r>
              <w:t xml:space="preserve">24 hours</w:t>
            </w:r>
          </w:p>
        </w:tc>
        <w:tc>
          <w:tcPr/>
          <w:p>
            <w:pPr>
              <w:pStyle w:val="Compact"/>
              <w:jc w:val="left"/>
            </w:pPr>
            <w:r>
              <w:t xml:space="preserve">1,500,000</w:t>
            </w:r>
          </w:p>
        </w:tc>
        <w:tc>
          <w:tcPr/>
          <w:p>
            <w:pPr>
              <w:pStyle w:val="Compact"/>
              <w:jc w:val="left"/>
            </w:pPr>
            <w:r>
              <w:t xml:space="preserve">36,000,000</w:t>
            </w:r>
          </w:p>
        </w:tc>
      </w:tr>
      <w:tr>
        <w:tc>
          <w:tcPr/>
          <w:p>
            <w:pPr>
              <w:pStyle w:val="Compact"/>
              <w:jc w:val="left"/>
            </w:pPr>
            <w:r>
              <w:t xml:space="preserve">3</w:t>
            </w:r>
          </w:p>
        </w:tc>
        <w:tc>
          <w:tcPr/>
          <w:p>
            <w:pPr>
              <w:pStyle w:val="Compact"/>
              <w:jc w:val="left"/>
            </w:pPr>
            <w:r>
              <w:t xml:space="preserve">Natural Language Processing (NLP) Implementation – Sentiment Analysis for Indonesian Customer Feedback (Data Scientist specialized service)</w:t>
            </w:r>
          </w:p>
        </w:tc>
        <w:tc>
          <w:tcPr/>
          <w:p>
            <w:pPr>
              <w:pStyle w:val="Compact"/>
              <w:jc w:val="left"/>
            </w:pPr>
            <w:r>
              <w:t xml:space="preserve">32 hours</w:t>
            </w:r>
          </w:p>
        </w:tc>
        <w:tc>
          <w:tcPr/>
          <w:p>
            <w:pPr>
              <w:pStyle w:val="Compact"/>
              <w:jc w:val="left"/>
            </w:pPr>
            <w:r>
              <w:t xml:space="preserve">1,750,000</w:t>
            </w:r>
          </w:p>
        </w:tc>
        <w:tc>
          <w:tcPr/>
          <w:p>
            <w:pPr>
              <w:pStyle w:val="Compact"/>
              <w:jc w:val="left"/>
            </w:pPr>
            <w:r>
              <w:t xml:space="preserve">56,000,000</w:t>
            </w:r>
          </w:p>
        </w:tc>
      </w:tr>
      <w:tr>
        <w:tc>
          <w:tcPr/>
          <w:p>
            <w:pPr>
              <w:pStyle w:val="Compact"/>
              <w:jc w:val="left"/>
            </w:pPr>
            <w:r>
              <w:t xml:space="preserve">4</w:t>
            </w:r>
          </w:p>
        </w:tc>
        <w:tc>
          <w:tcPr/>
          <w:p>
            <w:pPr>
              <w:pStyle w:val="Compact"/>
              <w:jc w:val="left"/>
            </w:pPr>
            <w:r>
              <w:t xml:space="preserve">Dashboard Development &amp; Visualization – Power BI integration with predictive models (Data Scientist deliverable)</w:t>
            </w:r>
          </w:p>
        </w:tc>
        <w:tc>
          <w:tcPr/>
          <w:p>
            <w:pPr>
              <w:pStyle w:val="Compact"/>
              <w:jc w:val="left"/>
            </w:pPr>
            <w:r>
              <w:t xml:space="preserve">16 hours</w:t>
            </w:r>
          </w:p>
        </w:tc>
        <w:tc>
          <w:tcPr/>
          <w:p>
            <w:pPr>
              <w:pStyle w:val="Compact"/>
              <w:jc w:val="left"/>
            </w:pPr>
            <w:r>
              <w:t xml:space="preserve">1,500,000</w:t>
            </w:r>
          </w:p>
        </w:tc>
        <w:tc>
          <w:tcPr/>
          <w:p>
            <w:pPr>
              <w:pStyle w:val="Compact"/>
              <w:jc w:val="left"/>
            </w:pPr>
            <w:r>
              <w:t xml:space="preserve">24,000,000</w:t>
            </w:r>
          </w:p>
        </w:tc>
      </w:tr>
      <w:tr>
        <w:tc>
          <w:tcPr/>
          <w:p>
            <w:pPr>
              <w:pStyle w:val="Compact"/>
              <w:jc w:val="left"/>
            </w:pPr>
            <w:r>
              <w:t xml:space="preserve">5</w:t>
            </w:r>
          </w:p>
        </w:tc>
        <w:tc>
          <w:tcPr/>
          <w:p>
            <w:pPr>
              <w:pStyle w:val="Compact"/>
              <w:jc w:val="left"/>
            </w:pPr>
            <w:r>
              <w:t xml:space="preserve">Team Training &amp; Knowledge Transfer – 2-day workshop for internal data team in Indonesia Jakarta (Data Scientist educational service)</w:t>
            </w:r>
          </w:p>
        </w:tc>
        <w:tc>
          <w:tcPr/>
          <w:p>
            <w:pPr>
              <w:pStyle w:val="Compact"/>
              <w:jc w:val="left"/>
            </w:pPr>
            <w:r>
              <w:t xml:space="preserve">2 days</w:t>
            </w:r>
          </w:p>
        </w:tc>
        <w:tc>
          <w:tcPr/>
          <w:p>
            <w:pPr>
              <w:pStyle w:val="Compact"/>
              <w:jc w:val="left"/>
            </w:pPr>
            <w:r>
              <w:t xml:space="preserve">12,000,000</w:t>
            </w:r>
          </w:p>
        </w:tc>
        <w:tc>
          <w:tcPr/>
          <w:p>
            <w:pPr>
              <w:pStyle w:val="Compact"/>
              <w:jc w:val="left"/>
            </w:pPr>
            <w:r>
              <w:t xml:space="preserve">24,000,000</w:t>
            </w:r>
          </w:p>
        </w:tc>
      </w:tr>
      <w:tr>
        <w:tc>
          <w:tcPr/>
          <w:p>
            <w:pPr>
              <w:pStyle w:val="Compact"/>
              <w:jc w:val="left"/>
            </w:pPr>
            <w:r>
              <w:t xml:space="preserve">6</w:t>
            </w:r>
          </w:p>
        </w:tc>
        <w:tc>
          <w:tcPr/>
          <w:p>
            <w:pPr>
              <w:pStyle w:val="Compact"/>
              <w:jc w:val="left"/>
            </w:pPr>
            <w:r>
              <w:t xml:space="preserve">Project Documentation &amp; Technical Report – Comprehensive Data Scientist methodology documentation</w:t>
            </w:r>
          </w:p>
        </w:tc>
        <w:tc>
          <w:tcPr/>
          <w:p>
            <w:pPr>
              <w:pStyle w:val="Compact"/>
              <w:jc w:val="left"/>
            </w:pPr>
            <w:r>
              <w:t xml:space="preserve">1 package</w:t>
            </w:r>
          </w:p>
        </w:tc>
        <w:tc>
          <w:tcPr/>
          <w:p>
            <w:pPr>
              <w:pStyle w:val="Compact"/>
              <w:jc w:val="left"/>
            </w:pPr>
            <w:r>
              <w:t xml:space="preserve">8,000,000</w:t>
            </w:r>
          </w:p>
        </w:tc>
        <w:tc>
          <w:tcPr/>
          <w:p>
            <w:pPr>
              <w:pStyle w:val="Compact"/>
              <w:jc w:val="left"/>
            </w:pPr>
            <w:r>
              <w:t xml:space="preserve">8,000,000</w:t>
            </w:r>
          </w:p>
        </w:tc>
      </w:tr>
      <w:tr>
        <w:tc>
          <w:tcPr/>
          <w:p>
            <w:pPr>
              <w:pStyle w:val="Compact"/>
              <w:jc w:val="left"/>
            </w:pPr>
            <w:r>
              <w:t xml:space="preserve">7</w:t>
            </w:r>
          </w:p>
        </w:tc>
        <w:tc>
          <w:tcPr/>
          <w:p>
            <w:pPr>
              <w:pStyle w:val="Compact"/>
              <w:jc w:val="left"/>
            </w:pPr>
            <w:r>
              <w:t xml:space="preserve">Post-Deployment Support &amp; Model Monitoring – 30-day warranty period for all Data Scientist deliverables</w:t>
            </w:r>
          </w:p>
        </w:tc>
        <w:tc>
          <w:tcPr/>
          <w:p>
            <w:pPr>
              <w:pStyle w:val="Compact"/>
              <w:jc w:val="left"/>
            </w:pPr>
            <w:r>
              <w:t xml:space="preserve">30 days</w:t>
            </w:r>
          </w:p>
        </w:tc>
        <w:tc>
          <w:tcPr/>
          <w:p>
            <w:pPr>
              <w:pStyle w:val="Compact"/>
              <w:jc w:val="left"/>
            </w:pPr>
            <w:r>
              <w:t xml:space="preserve">5,000,000</w:t>
            </w:r>
          </w:p>
        </w:tc>
        <w:tc>
          <w:tcPr/>
          <w:p>
            <w:pPr>
              <w:pStyle w:val="Compact"/>
              <w:jc w:val="left"/>
            </w:pPr>
            <w:r>
              <w:t xml:space="preserve">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213,000,000</w:t>
            </w:r>
          </w:p>
        </w:tc>
      </w:tr>
      <w:tr>
        <w:tc>
          <w:tcPr/>
          <w:p>
            <w:pPr>
              <w:pStyle w:val="Compact"/>
              <w:jc w:val="left"/>
            </w:pPr>
            <w:r>
              <w:t xml:space="preserve">VAT (PPN) 11%</w:t>
            </w:r>
          </w:p>
        </w:tc>
        <w:tc>
          <w:tcPr/>
          <w:p>
            <w:pPr>
              <w:pStyle w:val="Compact"/>
              <w:jc w:val="right"/>
            </w:pPr>
            <w:r>
              <w:t xml:space="preserve">23,430,000</w:t>
            </w:r>
          </w:p>
        </w:tc>
      </w:tr>
      <w:tr>
        <w:tc>
          <w:tcPr/>
          <w:p>
            <w:pPr>
              <w:pStyle w:val="Compact"/>
              <w:jc w:val="left"/>
            </w:pPr>
            <w:r>
              <w:t xml:space="preserve">Withholding Tax (PPh 23) 2%</w:t>
            </w:r>
          </w:p>
        </w:tc>
        <w:tc>
          <w:tcPr/>
          <w:p>
            <w:pPr>
              <w:pStyle w:val="Compact"/>
              <w:jc w:val="right"/>
            </w:pPr>
            <w:r>
              <w:t xml:space="preserve">(4,260,000)</w:t>
            </w:r>
          </w:p>
        </w:tc>
      </w:tr>
      <w:tr>
        <w:tc>
          <w:tcPr/>
          <w:p>
            <w:pPr>
              <w:pStyle w:val="Compact"/>
              <w:jc w:val="left"/>
            </w:pPr>
            <w:r>
              <w:t xml:space="preserve">Grand Total (IDR)</w:t>
            </w:r>
          </w:p>
        </w:tc>
        <w:tc>
          <w:tcPr/>
          <w:p>
            <w:pPr>
              <w:pStyle w:val="Compact"/>
              <w:jc w:val="right"/>
            </w:pPr>
            <w:r>
              <w:t xml:space="preserve">232,170,000</w:t>
            </w:r>
          </w:p>
        </w:tc>
      </w:tr>
    </w:tbl>
    <w:bookmarkStart w:id="26" w:name="invoice-notes-payment-details"/>
    <w:p>
      <w:pPr>
        <w:pStyle w:val="Heading4"/>
      </w:pPr>
      <w:r>
        <w:t xml:space="preserve">Invoice Notes &amp; Payment Details</w:t>
      </w:r>
    </w:p>
    <w:p>
      <w:pPr>
        <w:pStyle w:val="FirstParagraph"/>
      </w:pPr>
      <w:r>
        <w:t xml:space="preserve">This Invoice covers all Data Scientist professional services rendered by Dr. Anisa Wijaya to PT Nusantara Digital Solutions during the period of 1 May 2025 through 10 June 2025. All work was conducted primarily at the client's headquarters located in Indonesia Jakarta, with supplementary remote collaboration sessions as agreed upon in the Statement of Work (SOW) dated 28 April 2025.</w:t>
      </w:r>
    </w:p>
    <w:p>
      <w:pPr>
        <w:pStyle w:val="BodyText"/>
      </w:pPr>
      <w:r>
        <w:rPr>
          <w:bCs/>
          <w:b/>
        </w:rPr>
        <w:t xml:space="preserve">Payment Method:</w:t>
      </w:r>
      <w:r>
        <w:t xml:space="preserve"> </w:t>
      </w:r>
      <w:r>
        <w:t xml:space="preserve">Bank Transfer (Transfer Bank)</w:t>
      </w:r>
    </w:p>
    <w:p>
      <w:pPr>
        <w:pStyle w:val="BodyText"/>
      </w:pPr>
      <w:r>
        <w:rPr>
          <w:bCs/>
          <w:b/>
        </w:rPr>
        <w:t xml:space="preserve">Bank:</w:t>
      </w:r>
      <w:r>
        <w:t xml:space="preserve"> </w:t>
      </w:r>
      <w:r>
        <w:t xml:space="preserve">Bank Central Asia (BCA)</w:t>
      </w:r>
    </w:p>
    <w:p>
      <w:pPr>
        <w:pStyle w:val="BodyText"/>
      </w:pPr>
      <w:r>
        <w:rPr>
          <w:bCs/>
          <w:b/>
        </w:rPr>
        <w:t xml:space="preserve">Account Name:</w:t>
      </w:r>
      <w:r>
        <w:t xml:space="preserve"> </w:t>
      </w:r>
      <w:r>
        <w:t xml:space="preserve">Anisa Wijaya</w:t>
      </w:r>
    </w:p>
    <w:p>
      <w:pPr>
        <w:pStyle w:val="BodyText"/>
      </w:pPr>
      <w:r>
        <w:rPr>
          <w:bCs/>
          <w:b/>
        </w:rPr>
        <w:t xml:space="preserve">Account Number:</w:t>
      </w:r>
      <w:r>
        <w:t xml:space="preserve"> </w:t>
      </w:r>
      <w:r>
        <w:t xml:space="preserve">123-456-7890</w:t>
      </w:r>
    </w:p>
    <w:p>
      <w:pPr>
        <w:pStyle w:val="BodyText"/>
      </w:pPr>
      <w:r>
        <w:rPr>
          <w:bCs/>
          <w:b/>
        </w:rPr>
        <w:t xml:space="preserve">SWIFT Code:</w:t>
      </w:r>
      <w:r>
        <w:t xml:space="preserve"> </w:t>
      </w:r>
      <w:r>
        <w:t xml:space="preserve">CBAKIDJA</w:t>
      </w:r>
    </w:p>
    <w:p>
      <w:pPr>
        <w:pStyle w:val="BodyText"/>
      </w:pPr>
      <w:r>
        <w:rPr>
          <w:bCs/>
          <w:b/>
        </w:rPr>
        <w:t xml:space="preserve">Reference:</w:t>
      </w:r>
      <w:r>
        <w:t xml:space="preserve"> </w:t>
      </w:r>
      <w:r>
        <w:t xml:space="preserve">INV-JKT-2025-00472</w:t>
      </w:r>
    </w:p>
    <w:p>
      <w:pPr>
        <w:pStyle w:val="BodyText"/>
      </w:pPr>
      <w:r>
        <w:t xml:space="preserve">Please ensure that the reference number is included in your payment transaction. This Invoice is valid for payment within 15 calendar days from the Invoice date. Late payments are subject to a penalty of 2% per month as per Indonesian commercial regulations.</w:t>
      </w:r>
    </w:p>
    <w:bookmarkEnd w:id="26"/>
    <w:bookmarkStart w:id="27" w:name="terms-conditions"/>
    <w:p>
      <w:pPr>
        <w:pStyle w:val="Heading4"/>
      </w:pPr>
      <w:r>
        <w:t xml:space="preserve">Terms &amp; Conditions</w:t>
      </w:r>
    </w:p>
    <w:p>
      <w:pPr>
        <w:pStyle w:val="FirstParagraph"/>
      </w:pPr>
      <w:r>
        <w:t xml:space="preserve">1. This Invoice is issued in accordance with the Master Service Agreement (MSA) between the Data Scientist and PT Nusantara Digital Solutions, effective 1 January 2025, and the specific Statement of Work for the Q2 2025 analytics project.</w:t>
      </w:r>
    </w:p>
    <w:p>
      <w:pPr>
        <w:pStyle w:val="BodyText"/>
      </w:pPr>
      <w:r>
        <w:t xml:space="preserve">2. All Data Scientist deliverables, including but not limited to machine learning models, data pipelines, NLP algorithms, dashboards, and documentation, shall become the exclusive property of the client upon full payment of this Invoice.</w:t>
      </w:r>
    </w:p>
    <w:p>
      <w:pPr>
        <w:pStyle w:val="BodyText"/>
      </w:pPr>
      <w:r>
        <w:t xml:space="preserve">3. The Data Scientist retains the right to reference the project in professional portfolios and case studies, subject to a 30-day confidentiality review period agreed upon by both parties.</w:t>
      </w:r>
    </w:p>
    <w:p>
      <w:pPr>
        <w:pStyle w:val="BodyText"/>
      </w:pPr>
      <w:r>
        <w:t xml:space="preserve">4. All services were performed in compliance with Indonesia's Personal Data Protection Law (UU PDP No. 27 Tahun 2022). No personal data was transferred outside of Indonesia Jakarta or the Republic of Indonesia without explicit written consent.</w:t>
      </w:r>
    </w:p>
    <w:p>
      <w:pPr>
        <w:pStyle w:val="BodyText"/>
      </w:pPr>
      <w:r>
        <w:t xml:space="preserve">5. This Invoice is subject to Indonesian tax regulations. The VAT (Pajak Pertambahan Nilai) of 11% has been applied as mandated by the Directorate General of Taxes (Ditjen Pajak). The Withholding Tax (Pajak Penghasilan Pasal 23) of 2% has been deducted as the client is the withholding agent.</w:t>
      </w:r>
    </w:p>
    <w:p>
      <w:pPr>
        <w:pStyle w:val="BodyText"/>
      </w:pPr>
      <w:r>
        <w:t xml:space="preserve">6. Any disputes arising from this Invoice shall be resolved through mediation in Indonesia Jakarta in accordance with the laws of the Republic of Indonesia. The competent court is the District Court of South Jakarta (Pengadilan Negeri Jakarta Selatan).</w:t>
      </w:r>
    </w:p>
    <w:p>
      <w:pPr>
        <w:pStyle w:val="BodyText"/>
      </w:pPr>
      <w:r>
        <w:t xml:space="preserve">7. The Data Scientist warrants that all services described in this Invoice were performed with professional competence, industry best practices, and in good faith. The 30-day post-deployment support period is included as a warranty against material defects in the delivered models and systems.</w:t>
      </w:r>
    </w:p>
    <w:p>
      <w:pPr>
        <w:pStyle w:val="BodyText"/>
      </w:pPr>
      <w:r>
        <w:t xml:space="preserve">8. This Invoice constitutes the final and complete billing for the services described herein. No additional charges shall apply unless a formal change order is executed in writing by both parties.</w:t>
      </w:r>
    </w:p>
    <w:bookmarkEnd w:id="27"/>
    <w:p>
      <w:pPr>
        <w:pStyle w:val="BodyText"/>
      </w:pPr>
      <w:r>
        <w:t xml:space="preserve">Thank you for your business. This Invoice was generated electronically and is valid without a physical signature in accordance with Indonesia's Electronic Information and Transactions Law (UU ITE No. 11 Tahun 2008).</w:t>
      </w:r>
    </w:p>
    <w:p>
      <w:pPr>
        <w:pStyle w:val="BodyText"/>
      </w:pPr>
      <w:r>
        <w:t xml:space="preserve">Dr. Anisa Wijaya, PhD – Data Scientist | Indonesia Jakarta | anisa.wijaya@datascientist.id | +62 812-3456-7890</w:t>
      </w:r>
    </w:p>
    <w:p>
      <w:pPr>
        <w:pStyle w:val="BodyText"/>
      </w:pPr>
      <w:r>
        <w:t xml:space="preserve">Invoice INV-JKT-2025-00472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Indonesia Jakarta</dc:title>
  <dc:creator/>
  <dc:language>en</dc:language>
  <cp:keywords/>
  <dcterms:created xsi:type="dcterms:W3CDTF">2026-10-10T03:37:48Z</dcterms:created>
  <dcterms:modified xsi:type="dcterms:W3CDTF">2026-10-10T03:37:48Z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