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invoice"/>
    <w:p>
      <w:pPr>
        <w:pStyle w:val="Heading1"/>
      </w:pPr>
      <w:r>
        <w:t xml:space="preserve">INVOICE</w:t>
      </w:r>
    </w:p>
    <w:p>
      <w:pPr>
        <w:pStyle w:val="FirstParagraph"/>
      </w:pPr>
      <w:r>
        <w:t xml:space="preserve">Professional Data Scientist Services</w:t>
      </w:r>
    </w:p>
    <w:p>
      <w:pPr>
        <w:pStyle w:val="BodyText"/>
      </w:pPr>
      <w:r>
        <w:t xml:space="preserve">PAID</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INV-KZ-2025-0487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Currency:</w:t>
      </w:r>
      <w:r>
        <w:t xml:space="preserve"> </w:t>
      </w:r>
      <w:r>
        <w:t xml:space="preserve">KZT (Kazakhstani Tenge)</w:t>
      </w:r>
    </w:p>
    <w:bookmarkEnd w:id="21"/>
    <w:bookmarkStart w:id="22" w:name="from-service-provider"/>
    <w:p>
      <w:pPr>
        <w:pStyle w:val="Heading4"/>
      </w:pPr>
      <w:r>
        <w:t xml:space="preserve">From (Service Provider)</w:t>
      </w:r>
    </w:p>
    <w:p>
      <w:pPr>
        <w:pStyle w:val="FirstParagraph"/>
      </w:pPr>
      <w:r>
        <w:rPr>
          <w:bCs/>
          <w:b/>
        </w:rPr>
        <w:t xml:space="preserve">Almaty Data Analytics Solutions LLP</w:t>
      </w:r>
    </w:p>
    <w:p>
      <w:pPr>
        <w:pStyle w:val="BodyText"/>
      </w:pPr>
      <w:r>
        <w:t xml:space="preserve">Address: 45 Abai Avenue, Office 1204</w:t>
      </w:r>
    </w:p>
    <w:p>
      <w:pPr>
        <w:pStyle w:val="BodyText"/>
      </w:pPr>
      <w:r>
        <w:t xml:space="preserve">Almaty, 050040, Kazakhstan</w:t>
      </w:r>
    </w:p>
    <w:p>
      <w:pPr>
        <w:pStyle w:val="BodyText"/>
      </w:pPr>
      <w:r>
        <w:t xml:space="preserve">BIN: 209945678123</w:t>
      </w:r>
    </w:p>
    <w:p>
      <w:pPr>
        <w:pStyle w:val="BodyText"/>
      </w:pPr>
      <w:r>
        <w:t xml:space="preserve">VAT ID: KZ209945678123</w:t>
      </w:r>
    </w:p>
    <w:p>
      <w:pPr>
        <w:pStyle w:val="BodyText"/>
      </w:pPr>
      <w:r>
        <w:t xml:space="preserve">Email: billing@almatydata.kz</w:t>
      </w:r>
    </w:p>
    <w:p>
      <w:pPr>
        <w:pStyle w:val="BodyText"/>
      </w:pPr>
      <w:r>
        <w:t xml:space="preserve">Phone: +7 (727) 345-67-89</w:t>
      </w:r>
    </w:p>
    <w:bookmarkEnd w:id="22"/>
    <w:bookmarkStart w:id="23" w:name="bill-to-client"/>
    <w:p>
      <w:pPr>
        <w:pStyle w:val="Heading4"/>
      </w:pPr>
      <w:r>
        <w:t xml:space="preserve">Bill To (Client)</w:t>
      </w:r>
    </w:p>
    <w:p>
      <w:pPr>
        <w:pStyle w:val="FirstParagraph"/>
      </w:pPr>
      <w:r>
        <w:rPr>
          <w:bCs/>
          <w:b/>
        </w:rPr>
        <w:t xml:space="preserve">Tengri Financial Group JSC</w:t>
      </w:r>
    </w:p>
    <w:p>
      <w:pPr>
        <w:pStyle w:val="BodyText"/>
      </w:pPr>
      <w:r>
        <w:t xml:space="preserve">Address: 2 Dostyk Avenue, Floor 18</w:t>
      </w:r>
    </w:p>
    <w:p>
      <w:pPr>
        <w:pStyle w:val="BodyText"/>
      </w:pPr>
      <w:r>
        <w:t xml:space="preserve">Almaty, 050000, Kazakhstan</w:t>
      </w:r>
    </w:p>
    <w:p>
      <w:pPr>
        <w:pStyle w:val="BodyText"/>
      </w:pPr>
      <w:r>
        <w:t xml:space="preserve">BIN: 150944321987</w:t>
      </w:r>
    </w:p>
    <w:p>
      <w:pPr>
        <w:pStyle w:val="BodyText"/>
      </w:pPr>
      <w:r>
        <w:t xml:space="preserve">VAT ID: KZ150944321987</w:t>
      </w:r>
    </w:p>
    <w:p>
      <w:pPr>
        <w:pStyle w:val="BodyText"/>
      </w:pPr>
      <w:r>
        <w:t xml:space="preserve">Email: accounts@tengrifin.kz</w:t>
      </w:r>
    </w:p>
    <w:p>
      <w:pPr>
        <w:pStyle w:val="BodyText"/>
      </w:pPr>
      <w:r>
        <w:t xml:space="preserve">Phone: +7 (727) 210-45-67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Rate (KZT/hr)</w:t>
            </w:r>
          </w:p>
        </w:tc>
        <w:tc>
          <w:tcPr/>
          <w:p>
            <w:pPr>
              <w:pStyle w:val="Compact"/>
              <w:jc w:val="left"/>
            </w:pPr>
            <w:r>
              <w:t xml:space="preserve">Hours</w:t>
            </w:r>
          </w:p>
        </w:tc>
        <w:tc>
          <w:tcPr/>
          <w:p>
            <w:pPr>
              <w:pStyle w:val="Compact"/>
              <w:jc w:val="left"/>
            </w:pPr>
            <w:r>
              <w:t xml:space="preserve">Subtotal (KZT)</w:t>
            </w:r>
          </w:p>
        </w:tc>
        <w:tc>
          <w:tcPr/>
          <w:p>
            <w:pPr>
              <w:pStyle w:val="Compact"/>
              <w:jc w:val="left"/>
            </w:pPr>
            <w:r>
              <w:t xml:space="preserve">Deliverable / Reference</w:t>
            </w:r>
          </w:p>
        </w:tc>
      </w:tr>
      <w:tr>
        <w:tc>
          <w:tcPr/>
          <w:p>
            <w:pPr>
              <w:pStyle w:val="Compact"/>
              <w:jc w:val="left"/>
            </w:pPr>
            <w:r>
              <w:t xml:space="preserve">1</w:t>
            </w:r>
          </w:p>
        </w:tc>
        <w:tc>
          <w:tcPr/>
          <w:p>
            <w:pPr>
              <w:pStyle w:val="Compact"/>
              <w:jc w:val="left"/>
            </w:pPr>
            <w:r>
              <w:t xml:space="preserve">Machine Learning Model Development – Credit Risk Scoring for Retail Banking Portfolio</w:t>
            </w:r>
          </w:p>
        </w:tc>
        <w:tc>
          <w:tcPr/>
          <w:p>
            <w:pPr>
              <w:pStyle w:val="Compact"/>
              <w:jc w:val="left"/>
            </w:pPr>
            <w:r>
              <w:t xml:space="preserve">45,000</w:t>
            </w:r>
          </w:p>
        </w:tc>
        <w:tc>
          <w:tcPr/>
          <w:p>
            <w:pPr>
              <w:pStyle w:val="Compact"/>
              <w:jc w:val="left"/>
            </w:pPr>
            <w:r>
              <w:t xml:space="preserve">80</w:t>
            </w:r>
          </w:p>
        </w:tc>
        <w:tc>
          <w:tcPr/>
          <w:p>
            <w:pPr>
              <w:pStyle w:val="Compact"/>
              <w:jc w:val="left"/>
            </w:pPr>
            <w:r>
              <w:t xml:space="preserve">3,600,000</w:t>
            </w:r>
          </w:p>
        </w:tc>
        <w:tc>
          <w:tcPr/>
          <w:p>
            <w:pPr>
              <w:pStyle w:val="Compact"/>
              <w:jc w:val="left"/>
            </w:pPr>
            <w:r>
              <w:t xml:space="preserve">DR-2025-041</w:t>
            </w:r>
          </w:p>
        </w:tc>
      </w:tr>
      <w:tr>
        <w:tc>
          <w:tcPr/>
          <w:p>
            <w:pPr>
              <w:pStyle w:val="Compact"/>
              <w:jc w:val="left"/>
            </w:pPr>
            <w:r>
              <w:t xml:space="preserve">2</w:t>
            </w:r>
          </w:p>
        </w:tc>
        <w:tc>
          <w:tcPr/>
          <w:p>
            <w:pPr>
              <w:pStyle w:val="Compact"/>
              <w:jc w:val="left"/>
            </w:pPr>
            <w:r>
              <w:t xml:space="preserve">Predictive Analytics Dashboard Design and Implementation for Customer Churn Reduction</w:t>
            </w:r>
          </w:p>
        </w:tc>
        <w:tc>
          <w:tcPr/>
          <w:p>
            <w:pPr>
              <w:pStyle w:val="Compact"/>
              <w:jc w:val="left"/>
            </w:pPr>
            <w:r>
              <w:t xml:space="preserve">45,000</w:t>
            </w:r>
          </w:p>
        </w:tc>
        <w:tc>
          <w:tcPr/>
          <w:p>
            <w:pPr>
              <w:pStyle w:val="Compact"/>
              <w:jc w:val="left"/>
            </w:pPr>
            <w:r>
              <w:t xml:space="preserve">60</w:t>
            </w:r>
          </w:p>
        </w:tc>
        <w:tc>
          <w:tcPr/>
          <w:p>
            <w:pPr>
              <w:pStyle w:val="Compact"/>
              <w:jc w:val="left"/>
            </w:pPr>
            <w:r>
              <w:t xml:space="preserve">2,700,000</w:t>
            </w:r>
          </w:p>
        </w:tc>
        <w:tc>
          <w:tcPr/>
          <w:p>
            <w:pPr>
              <w:pStyle w:val="Compact"/>
              <w:jc w:val="left"/>
            </w:pPr>
            <w:r>
              <w:t xml:space="preserve">DR-2025-042</w:t>
            </w:r>
          </w:p>
        </w:tc>
      </w:tr>
      <w:tr>
        <w:tc>
          <w:tcPr/>
          <w:p>
            <w:pPr>
              <w:pStyle w:val="Compact"/>
              <w:jc w:val="left"/>
            </w:pPr>
            <w:r>
              <w:t xml:space="preserve">3</w:t>
            </w:r>
          </w:p>
        </w:tc>
        <w:tc>
          <w:tcPr/>
          <w:p>
            <w:pPr>
              <w:pStyle w:val="Compact"/>
              <w:jc w:val="left"/>
            </w:pPr>
            <w:r>
              <w:t xml:space="preserve">Natural Language Processing Pipeline for Kazakh and Russian Language Customer Support Ticket Classification</w:t>
            </w:r>
          </w:p>
        </w:tc>
        <w:tc>
          <w:tcPr/>
          <w:p>
            <w:pPr>
              <w:pStyle w:val="Compact"/>
              <w:jc w:val="left"/>
            </w:pPr>
            <w:r>
              <w:t xml:space="preserve">48,000</w:t>
            </w:r>
          </w:p>
        </w:tc>
        <w:tc>
          <w:tcPr/>
          <w:p>
            <w:pPr>
              <w:pStyle w:val="Compact"/>
              <w:jc w:val="left"/>
            </w:pPr>
            <w:r>
              <w:t xml:space="preserve">40</w:t>
            </w:r>
          </w:p>
        </w:tc>
        <w:tc>
          <w:tcPr/>
          <w:p>
            <w:pPr>
              <w:pStyle w:val="Compact"/>
              <w:jc w:val="left"/>
            </w:pPr>
            <w:r>
              <w:t xml:space="preserve">1,920,000</w:t>
            </w:r>
          </w:p>
        </w:tc>
        <w:tc>
          <w:tcPr/>
          <w:p>
            <w:pPr>
              <w:pStyle w:val="Compact"/>
              <w:jc w:val="left"/>
            </w:pPr>
            <w:r>
              <w:t xml:space="preserve">DR-2025-043</w:t>
            </w:r>
          </w:p>
        </w:tc>
      </w:tr>
      <w:tr>
        <w:tc>
          <w:tcPr/>
          <w:p>
            <w:pPr>
              <w:pStyle w:val="Compact"/>
              <w:jc w:val="left"/>
            </w:pPr>
            <w:r>
              <w:t xml:space="preserve">4</w:t>
            </w:r>
          </w:p>
        </w:tc>
        <w:tc>
          <w:tcPr/>
          <w:p>
            <w:pPr>
              <w:pStyle w:val="Compact"/>
              <w:jc w:val="left"/>
            </w:pPr>
            <w:r>
              <w:t xml:space="preserve">Data Pipeline Architecture Review and Optimization for Real-Time Transaction Monitoring in Kazakhstan Almaty Data Center</w:t>
            </w:r>
          </w:p>
        </w:tc>
        <w:tc>
          <w:tcPr/>
          <w:p>
            <w:pPr>
              <w:pStyle w:val="Compact"/>
              <w:jc w:val="left"/>
            </w:pPr>
            <w:r>
              <w:t xml:space="preserve">50,000</w:t>
            </w:r>
          </w:p>
        </w:tc>
        <w:tc>
          <w:tcPr/>
          <w:p>
            <w:pPr>
              <w:pStyle w:val="Compact"/>
              <w:jc w:val="left"/>
            </w:pPr>
            <w:r>
              <w:t xml:space="preserve">32</w:t>
            </w:r>
          </w:p>
        </w:tc>
        <w:tc>
          <w:tcPr/>
          <w:p>
            <w:pPr>
              <w:pStyle w:val="Compact"/>
              <w:jc w:val="left"/>
            </w:pPr>
            <w:r>
              <w:t xml:space="preserve">1,600,000</w:t>
            </w:r>
          </w:p>
        </w:tc>
        <w:tc>
          <w:tcPr/>
          <w:p>
            <w:pPr>
              <w:pStyle w:val="Compact"/>
              <w:jc w:val="left"/>
            </w:pPr>
            <w:r>
              <w:t xml:space="preserve">DR-2025-044</w:t>
            </w:r>
          </w:p>
        </w:tc>
      </w:tr>
      <w:tr>
        <w:tc>
          <w:tcPr/>
          <w:p>
            <w:pPr>
              <w:pStyle w:val="Compact"/>
              <w:jc w:val="left"/>
            </w:pPr>
            <w:r>
              <w:t xml:space="preserve">5</w:t>
            </w:r>
          </w:p>
        </w:tc>
        <w:tc>
          <w:tcPr/>
          <w:p>
            <w:pPr>
              <w:pStyle w:val="Compact"/>
              <w:jc w:val="left"/>
            </w:pPr>
            <w:r>
              <w:t xml:space="preserve">Statistical Reporting and Model Validation Documentation for National Bank of Kazakhstan Compliance Audit</w:t>
            </w:r>
          </w:p>
        </w:tc>
        <w:tc>
          <w:tcPr/>
          <w:p>
            <w:pPr>
              <w:pStyle w:val="Compact"/>
              <w:jc w:val="left"/>
            </w:pPr>
            <w:r>
              <w:t xml:space="preserve">42,000</w:t>
            </w:r>
          </w:p>
        </w:tc>
        <w:tc>
          <w:tcPr/>
          <w:p>
            <w:pPr>
              <w:pStyle w:val="Compact"/>
              <w:jc w:val="left"/>
            </w:pPr>
            <w:r>
              <w:t xml:space="preserve">24</w:t>
            </w:r>
          </w:p>
        </w:tc>
        <w:tc>
          <w:tcPr/>
          <w:p>
            <w:pPr>
              <w:pStyle w:val="Compact"/>
              <w:jc w:val="left"/>
            </w:pPr>
            <w:r>
              <w:t xml:space="preserve">1,008,000</w:t>
            </w:r>
          </w:p>
        </w:tc>
        <w:tc>
          <w:tcPr/>
          <w:p>
            <w:pPr>
              <w:pStyle w:val="Compact"/>
              <w:jc w:val="left"/>
            </w:pPr>
            <w:r>
              <w:t xml:space="preserve">DR-2025-045</w:t>
            </w:r>
          </w:p>
        </w:tc>
      </w:tr>
      <w:tr>
        <w:tc>
          <w:tcPr/>
          <w:p>
            <w:pPr>
              <w:pStyle w:val="Compact"/>
              <w:jc w:val="left"/>
            </w:pPr>
            <w:r>
              <w:t xml:space="preserve">6</w:t>
            </w:r>
          </w:p>
        </w:tc>
        <w:tc>
          <w:tcPr/>
          <w:p>
            <w:pPr>
              <w:pStyle w:val="Compact"/>
              <w:jc w:val="left"/>
            </w:pPr>
            <w:r>
              <w:t xml:space="preserve">Team Training Workshop – Advanced Python and TensorFlow for Data Science (12 participants, Almaty HQ)</w:t>
            </w:r>
          </w:p>
        </w:tc>
        <w:tc>
          <w:tcPr/>
          <w:p>
            <w:pPr>
              <w:pStyle w:val="Compact"/>
              <w:jc w:val="left"/>
            </w:pPr>
            <w:r>
              <w:t xml:space="preserve">60,000</w:t>
            </w:r>
          </w:p>
        </w:tc>
        <w:tc>
          <w:tcPr/>
          <w:p>
            <w:pPr>
              <w:pStyle w:val="Compact"/>
              <w:jc w:val="left"/>
            </w:pPr>
            <w:r>
              <w:t xml:space="preserve">16</w:t>
            </w:r>
          </w:p>
        </w:tc>
        <w:tc>
          <w:tcPr/>
          <w:p>
            <w:pPr>
              <w:pStyle w:val="Compact"/>
              <w:jc w:val="left"/>
            </w:pPr>
            <w:r>
              <w:t xml:space="preserve">960,000</w:t>
            </w:r>
          </w:p>
        </w:tc>
        <w:tc>
          <w:tcPr/>
          <w:p>
            <w:pPr>
              <w:pStyle w:val="Compact"/>
              <w:jc w:val="left"/>
            </w:pPr>
            <w:r>
              <w:t xml:space="preserve">DR-2025-046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11,788,000.00 KZT</w:t>
            </w:r>
          </w:p>
        </w:tc>
      </w:tr>
      <w:tr>
        <w:tc>
          <w:tcPr/>
          <w:p>
            <w:pPr>
              <w:pStyle w:val="Compact"/>
              <w:jc w:val="left"/>
            </w:pPr>
            <w:r>
              <w:t xml:space="preserve">VAT (12% – Kazakhstan Standard Rate)</w:t>
            </w:r>
          </w:p>
        </w:tc>
        <w:tc>
          <w:tcPr/>
          <w:p>
            <w:pPr>
              <w:pStyle w:val="Compact"/>
              <w:jc w:val="left"/>
            </w:pPr>
            <w:r>
              <w:t xml:space="preserve">1,414,560.00 KZT</w:t>
            </w:r>
          </w:p>
        </w:tc>
      </w:tr>
      <w:tr>
        <w:tc>
          <w:tcPr/>
          <w:p>
            <w:pPr>
              <w:pStyle w:val="Compact"/>
              <w:jc w:val="left"/>
            </w:pPr>
            <w:r>
              <w:t xml:space="preserve">Withholding Tax (1% – Non-Resident Adjustment)</w:t>
            </w:r>
          </w:p>
        </w:tc>
        <w:tc>
          <w:tcPr/>
          <w:p>
            <w:pPr>
              <w:pStyle w:val="Compact"/>
              <w:jc w:val="left"/>
            </w:pPr>
            <w:r>
              <w:t xml:space="preserve">117,880.00 KZT</w:t>
            </w:r>
          </w:p>
        </w:tc>
      </w:tr>
      <w:tr>
        <w:tc>
          <w:tcPr/>
          <w:p>
            <w:pPr>
              <w:pStyle w:val="Compact"/>
              <w:jc w:val="left"/>
            </w:pPr>
            <w:r>
              <w:t xml:space="preserve">Early Payment Discount (2% – settled before 20 June 2025)</w:t>
            </w:r>
          </w:p>
        </w:tc>
        <w:tc>
          <w:tcPr/>
          <w:p>
            <w:pPr>
              <w:pStyle w:val="Compact"/>
              <w:jc w:val="left"/>
            </w:pPr>
            <w:r>
              <w:t xml:space="preserve">-235,760.00 KZT</w:t>
            </w:r>
          </w:p>
        </w:tc>
      </w:tr>
      <w:tr>
        <w:tc>
          <w:tcPr/>
          <w:p>
            <w:pPr>
              <w:pStyle w:val="Compact"/>
              <w:jc w:val="left"/>
            </w:pPr>
            <w:r>
              <w:t xml:space="preserve">Grand Total Due</w:t>
            </w:r>
          </w:p>
        </w:tc>
        <w:tc>
          <w:tcPr/>
          <w:p>
            <w:pPr>
              <w:pStyle w:val="Compact"/>
              <w:jc w:val="left"/>
            </w:pPr>
            <w:r>
              <w:t xml:space="preserve">13,079,600.00 KZT</w:t>
            </w:r>
          </w:p>
        </w:tc>
      </w:tr>
    </w:tbl>
    <w:bookmarkStart w:id="24" w:name="X5e26fba166408b490fa9b7d1c9e1150faa8e2fc"/>
    <w:p>
      <w:pPr>
        <w:pStyle w:val="Heading4"/>
      </w:pPr>
      <w:r>
        <w:t xml:space="preserve">Payment Instructions – Kazakhstan Almaty Banking Details</w:t>
      </w:r>
    </w:p>
    <w:p>
      <w:pPr>
        <w:pStyle w:val="FirstParagraph"/>
      </w:pPr>
      <w:r>
        <w:rPr>
          <w:bCs/>
          <w:b/>
        </w:rPr>
        <w:t xml:space="preserve">Bank:</w:t>
      </w:r>
      <w:r>
        <w:t xml:space="preserve"> </w:t>
      </w:r>
      <w:r>
        <w:t xml:space="preserve">Jusan Bank, Almaty Main Branch</w:t>
      </w:r>
    </w:p>
    <w:p>
      <w:pPr>
        <w:pStyle w:val="BodyText"/>
      </w:pPr>
      <w:r>
        <w:rPr>
          <w:bCs/>
          <w:b/>
        </w:rPr>
        <w:t xml:space="preserve">IBAN:</w:t>
      </w:r>
      <w:r>
        <w:t xml:space="preserve"> </w:t>
      </w:r>
      <w:r>
        <w:t xml:space="preserve">KZ85 9130 0000 0000 1234 5678</w:t>
      </w:r>
    </w:p>
    <w:p>
      <w:pPr>
        <w:pStyle w:val="BodyText"/>
      </w:pPr>
      <w:r>
        <w:rPr>
          <w:bCs/>
          <w:b/>
        </w:rPr>
        <w:t xml:space="preserve">SWIFT/BIC:</w:t>
      </w:r>
      <w:r>
        <w:t xml:space="preserve"> </w:t>
      </w:r>
      <w:r>
        <w:t xml:space="preserve">JUSAKZKA</w:t>
      </w:r>
    </w:p>
    <w:p>
      <w:pPr>
        <w:pStyle w:val="BodyText"/>
      </w:pPr>
      <w:r>
        <w:rPr>
          <w:bCs/>
          <w:b/>
        </w:rPr>
        <w:t xml:space="preserve">Account Holder:</w:t>
      </w:r>
      <w:r>
        <w:t xml:space="preserve"> </w:t>
      </w:r>
      <w:r>
        <w:t xml:space="preserve">Almaty Data Analytics Solutions LLP</w:t>
      </w:r>
    </w:p>
    <w:p>
      <w:pPr>
        <w:pStyle w:val="BodyText"/>
      </w:pPr>
      <w:r>
        <w:rPr>
          <w:bCs/>
          <w:b/>
        </w:rPr>
        <w:t xml:space="preserve">Reference:</w:t>
      </w:r>
      <w:r>
        <w:t xml:space="preserve"> </w:t>
      </w:r>
      <w:r>
        <w:t xml:space="preserve">INV-KZ-2025-0487</w:t>
      </w:r>
    </w:p>
    <w:p>
      <w:pPr>
        <w:pStyle w:val="BodyText"/>
      </w:pPr>
      <w:r>
        <w:t xml:space="preserve">Please ensure that the reference number is included in the payment remittance. This Invoice must be settled within 15 calendar days from the issue date. Late payments will incur a penalty of 0.1% per day as stipulated under the Kazakhstan Civil Code, Article 317.</w:t>
      </w:r>
    </w:p>
    <w:bookmarkEnd w:id="24"/>
    <w:bookmarkStart w:id="25" w:name="important-notes-regarding-this-invoice"/>
    <w:p>
      <w:pPr>
        <w:pStyle w:val="Heading4"/>
      </w:pPr>
      <w:r>
        <w:t xml:space="preserve">Important Notes Regarding This Invoice</w:t>
      </w:r>
    </w:p>
    <w:p>
      <w:pPr>
        <w:numPr>
          <w:ilvl w:val="0"/>
          <w:numId w:val="1001"/>
        </w:numPr>
        <w:pStyle w:val="Compact"/>
      </w:pPr>
      <w:r>
        <w:t xml:space="preserve">This Invoice covers all Data Scientist professional services rendered during the period of 01 May 2025 through 31 May 2025. All deliverables listed above have been accepted in writing by the project manager at Tengri Financial Group JSC.</w:t>
      </w:r>
    </w:p>
    <w:p>
      <w:pPr>
        <w:numPr>
          <w:ilvl w:val="0"/>
          <w:numId w:val="1001"/>
        </w:numPr>
        <w:pStyle w:val="Compact"/>
      </w:pPr>
      <w:r>
        <w:t xml:space="preserve">The Data Scientist engagement was conducted primarily at the client's premises in Kazakhstan Almaty, with remote collaboration sessions conducted via secure video conferencing for cross-team coordination.</w:t>
      </w:r>
    </w:p>
    <w:p>
      <w:pPr>
        <w:numPr>
          <w:ilvl w:val="0"/>
          <w:numId w:val="1001"/>
        </w:numPr>
        <w:pStyle w:val="Compact"/>
      </w:pPr>
      <w:r>
        <w:t xml:space="preserve">All intellectual property, including but not limited to machine learning models, data pipelines, dashboards, and documentation produced under this Invoice, shall be transferred to the client upon full settlement of the Grand Total Due.</w:t>
      </w:r>
    </w:p>
    <w:p>
      <w:pPr>
        <w:numPr>
          <w:ilvl w:val="0"/>
          <w:numId w:val="1001"/>
        </w:numPr>
        <w:pStyle w:val="Compact"/>
      </w:pPr>
      <w:r>
        <w:t xml:space="preserve">This Invoice is issued in accordance with the Tax Code of the Republic of Kazakhstan and the applicable regulations of the Committee for Financial Monitoring. The VAT rate of 12% is applied as per the standard rate effective for 2025.</w:t>
      </w:r>
    </w:p>
    <w:p>
      <w:pPr>
        <w:numPr>
          <w:ilvl w:val="0"/>
          <w:numId w:val="1001"/>
        </w:numPr>
        <w:pStyle w:val="Compact"/>
      </w:pPr>
      <w:r>
        <w:t xml:space="preserve">Should the client require additional Data Scientist consulting hours beyond the scope defined in this Invoice, a supplementary Invoice will be issued with a minimum 5-business-day notice period.</w:t>
      </w:r>
    </w:p>
    <w:p>
      <w:pPr>
        <w:numPr>
          <w:ilvl w:val="0"/>
          <w:numId w:val="1001"/>
        </w:numPr>
        <w:pStyle w:val="Compact"/>
      </w:pPr>
      <w:r>
        <w:t xml:space="preserve">The Data Scientist services described herein comply with the data protection requirements set forth in the Law of the Republic of Kazakhstan "On Personal Data and Its Protection" (No. 94-V, 21 May 2014). All client data processed during the engagement period has been handled in strict accordance with this legislation.</w:t>
      </w:r>
    </w:p>
    <w:p>
      <w:pPr>
        <w:numPr>
          <w:ilvl w:val="0"/>
          <w:numId w:val="1001"/>
        </w:numPr>
        <w:pStyle w:val="Compact"/>
      </w:pPr>
      <w:r>
        <w:t xml:space="preserve">This Invoice is valid for 90 days from the issue date. After this period, the client is requested to contact the billing department at Almaty Data Analytics Solutions LLP to confirm the outstanding balance.</w:t>
      </w:r>
    </w:p>
    <w:bookmarkEnd w:id="25"/>
    <w:p>
      <w:pPr>
        <w:pStyle w:val="FirstParagraph"/>
      </w:pPr>
      <w:r>
        <w:rPr>
          <w:bCs/>
          <w:b/>
        </w:rPr>
        <w:t xml:space="preserve">Almaty Data Analytics Solutions LLP</w:t>
      </w:r>
      <w:r>
        <w:t xml:space="preserve"> </w:t>
      </w:r>
      <w:r>
        <w:t xml:space="preserve">| 45 Abai Avenue, Office 1204, Almaty, 050040, Kazakhstan</w:t>
      </w:r>
    </w:p>
    <w:p>
      <w:pPr>
        <w:pStyle w:val="BodyText"/>
      </w:pPr>
      <w:r>
        <w:t xml:space="preserve">BIN: 209945678123 | VAT ID: KZ209945678123 | www.almatydata.kz | billing@almatydata.kz</w:t>
      </w:r>
    </w:p>
    <w:p>
      <w:pPr>
        <w:pStyle w:val="BodyText"/>
      </w:pPr>
      <w:r>
        <w:t xml:space="preserve">This Invoice was generated electronically and is valid without a physical signature in accordance with the Law of the Republic of Kazakhstan "On Electronic Document Management."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Kazakhstan Almaty</dc:title>
  <dc:creator/>
  <dc:language>en</dc:language>
  <cp:keywords/>
  <dcterms:created xsi:type="dcterms:W3CDTF">2026-10-10T03:20:41Z</dcterms:created>
  <dcterms:modified xsi:type="dcterms:W3CDTF">2026-10-10T03:20:41Z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