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insight-analytics-kenya-ltd."/>
    <w:p>
      <w:pPr>
        <w:pStyle w:val="Heading1"/>
      </w:pPr>
      <w:r>
        <w:t xml:space="preserve">Insight Analytics Kenya Ltd.</w:t>
      </w:r>
    </w:p>
    <w:p>
      <w:pPr>
        <w:pStyle w:val="FirstParagraph"/>
      </w:pPr>
      <w:r>
        <w:t xml:space="preserve">P.O. Box 4521, Westlands, Kenya Nairobi</w:t>
      </w:r>
    </w:p>
    <w:p>
      <w:pPr>
        <w:pStyle w:val="BodyText"/>
      </w:pPr>
      <w:r>
        <w:t xml:space="preserve">Tel: +254 700 123 456 | Email: billing@insightanalytics.co.ke</w:t>
      </w:r>
    </w:p>
    <w:p>
      <w:pPr>
        <w:pStyle w:val="BodyText"/>
      </w:pPr>
      <w:r>
        <w:t xml:space="preserve">KRA PIN: P051234567X | MRA Reg: 112345678</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IA-2025-00847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Client:</w:t>
      </w:r>
      <w:r>
        <w:t xml:space="preserve"> </w:t>
      </w:r>
      <w:r>
        <w:t xml:space="preserve">Safaricom Data Solutions Division</w:t>
      </w:r>
    </w:p>
    <w:p>
      <w:pPr>
        <w:pStyle w:val="BodyText"/>
      </w:pPr>
      <w:r>
        <w:t xml:space="preserve">Attn:</w:t>
      </w:r>
      <w:r>
        <w:t xml:space="preserve"> </w:t>
      </w:r>
      <w:r>
        <w:t xml:space="preserve">Mr. James Mwangi, Head of Analytics</w:t>
      </w:r>
    </w:p>
    <w:p>
      <w:pPr>
        <w:pStyle w:val="BodyText"/>
      </w:pPr>
      <w:r>
        <w:t xml:space="preserve">Address:</w:t>
      </w:r>
      <w:r>
        <w:t xml:space="preserve"> </w:t>
      </w:r>
      <w:r>
        <w:t xml:space="preserve">Safaricom House, Waiyaki Way, Kenya Nairobi</w:t>
      </w:r>
    </w:p>
    <w:p>
      <w:pPr>
        <w:pStyle w:val="BodyText"/>
      </w:pPr>
      <w:r>
        <w:t xml:space="preserve">KRA PIN:</w:t>
      </w:r>
      <w:r>
        <w:t xml:space="preserve"> </w:t>
      </w:r>
      <w:r>
        <w:t xml:space="preserve">P098765432Y</w:t>
      </w:r>
    </w:p>
    <w:p>
      <w:pPr>
        <w:pStyle w:val="BodyText"/>
      </w:pPr>
      <w:r>
        <w:t xml:space="preserve">Email:</w:t>
      </w:r>
      <w:r>
        <w:t xml:space="preserve"> </w:t>
      </w:r>
      <w:r>
        <w:t xml:space="preserve">j.mwangi@safaricom.co.ke</w:t>
      </w:r>
    </w:p>
    <w:bookmarkEnd w:id="22"/>
    <w:bookmarkStart w:id="23" w:name="service-provider"/>
    <w:p>
      <w:pPr>
        <w:pStyle w:val="Heading3"/>
      </w:pPr>
      <w:r>
        <w:t xml:space="preserve">Service Provider</w:t>
      </w:r>
    </w:p>
    <w:p>
      <w:pPr>
        <w:pStyle w:val="FirstParagraph"/>
      </w:pPr>
      <w:r>
        <w:t xml:space="preserve">Data Scientist:</w:t>
      </w:r>
      <w:r>
        <w:t xml:space="preserve"> </w:t>
      </w:r>
      <w:r>
        <w:t xml:space="preserve">Dr. Amina Otieno, PhD</w:t>
      </w:r>
    </w:p>
    <w:p>
      <w:pPr>
        <w:pStyle w:val="BodyText"/>
      </w:pPr>
      <w:r>
        <w:t xml:space="preserve">Specialization:</w:t>
      </w:r>
      <w:r>
        <w:t xml:space="preserve"> </w:t>
      </w:r>
      <w:r>
        <w:t xml:space="preserve">Machine Learning &amp; Predictive Analytics</w:t>
      </w:r>
    </w:p>
    <w:p>
      <w:pPr>
        <w:pStyle w:val="BodyText"/>
      </w:pPr>
      <w:r>
        <w:t xml:space="preserve">Location:</w:t>
      </w:r>
      <w:r>
        <w:t xml:space="preserve"> </w:t>
      </w:r>
      <w:r>
        <w:t xml:space="preserve">Kenya Nairobi, Westlands Business Park</w:t>
      </w:r>
    </w:p>
    <w:p>
      <w:pPr>
        <w:pStyle w:val="BodyText"/>
      </w:pPr>
      <w:r>
        <w:t xml:space="preserve">Professional Reg:</w:t>
      </w:r>
      <w:r>
        <w:t xml:space="preserve"> </w:t>
      </w:r>
      <w:r>
        <w:t xml:space="preserve">KENAS/DS/2024/00312</w:t>
      </w:r>
    </w:p>
    <w:p>
      <w:pPr>
        <w:pStyle w:val="BodyText"/>
      </w:pPr>
      <w:r>
        <w:t xml:space="preserve">Contract Ref:</w:t>
      </w:r>
      <w:r>
        <w:t xml:space="preserve"> </w:t>
      </w:r>
      <w:r>
        <w:t xml:space="preserve">CTR-DS-2025-044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Initial Data Audit &amp; Exploratory Analysis of customer transaction datasets for the Kenya Nairobi market segment</w:t>
            </w:r>
          </w:p>
        </w:tc>
        <w:tc>
          <w:tcPr/>
          <w:p>
            <w:pPr>
              <w:pStyle w:val="Compact"/>
              <w:jc w:val="left"/>
            </w:pPr>
            <w:r>
              <w:t xml:space="preserve">5 days</w:t>
            </w:r>
          </w:p>
        </w:tc>
        <w:tc>
          <w:tcPr/>
          <w:p>
            <w:pPr>
              <w:pStyle w:val="Compact"/>
              <w:jc w:val="left"/>
            </w:pPr>
            <w:r>
              <w:t xml:space="preserve">25,000</w:t>
            </w:r>
          </w:p>
        </w:tc>
        <w:tc>
          <w:tcPr/>
          <w:p>
            <w:pPr>
              <w:pStyle w:val="Compact"/>
              <w:jc w:val="left"/>
            </w:pPr>
            <w:r>
              <w:t xml:space="preserve">125,000</w:t>
            </w:r>
          </w:p>
        </w:tc>
        <w:tc>
          <w:tcPr/>
          <w:p>
            <w:pPr>
              <w:pStyle w:val="Compact"/>
              <w:jc w:val="left"/>
            </w:pPr>
            <w:r>
              <w:t xml:space="preserve">Data Audit Report</w:t>
            </w:r>
          </w:p>
        </w:tc>
      </w:tr>
      <w:tr>
        <w:tc>
          <w:tcPr/>
          <w:p>
            <w:pPr>
              <w:pStyle w:val="Compact"/>
              <w:jc w:val="left"/>
            </w:pPr>
            <w:r>
              <w:t xml:space="preserve">2</w:t>
            </w:r>
          </w:p>
        </w:tc>
        <w:tc>
          <w:tcPr/>
          <w:p>
            <w:pPr>
              <w:pStyle w:val="Compact"/>
              <w:jc w:val="left"/>
            </w:pPr>
            <w:r>
              <w:t xml:space="preserve">Development and training of a predictive churn model using Python, scikit-learn, and TensorFlow for subscriber retention strategies</w:t>
            </w:r>
          </w:p>
        </w:tc>
        <w:tc>
          <w:tcPr/>
          <w:p>
            <w:pPr>
              <w:pStyle w:val="Compact"/>
              <w:jc w:val="left"/>
            </w:pPr>
            <w:r>
              <w:t xml:space="preserve">10 days</w:t>
            </w:r>
          </w:p>
        </w:tc>
        <w:tc>
          <w:tcPr/>
          <w:p>
            <w:pPr>
              <w:pStyle w:val="Compact"/>
              <w:jc w:val="left"/>
            </w:pPr>
            <w:r>
              <w:t xml:space="preserve">35,000</w:t>
            </w:r>
          </w:p>
        </w:tc>
        <w:tc>
          <w:tcPr/>
          <w:p>
            <w:pPr>
              <w:pStyle w:val="Compact"/>
              <w:jc w:val="left"/>
            </w:pPr>
            <w:r>
              <w:t xml:space="preserve">350,000</w:t>
            </w:r>
          </w:p>
        </w:tc>
        <w:tc>
          <w:tcPr/>
          <w:p>
            <w:pPr>
              <w:pStyle w:val="Compact"/>
              <w:jc w:val="left"/>
            </w:pPr>
            <w:r>
              <w:t xml:space="preserve">Trained ML Model + Code</w:t>
            </w:r>
          </w:p>
        </w:tc>
      </w:tr>
      <w:tr>
        <w:tc>
          <w:tcPr/>
          <w:p>
            <w:pPr>
              <w:pStyle w:val="Compact"/>
              <w:jc w:val="left"/>
            </w:pPr>
            <w:r>
              <w:t xml:space="preserve">3</w:t>
            </w:r>
          </w:p>
        </w:tc>
        <w:tc>
          <w:tcPr/>
          <w:p>
            <w:pPr>
              <w:pStyle w:val="Compact"/>
              <w:jc w:val="left"/>
            </w:pPr>
            <w:r>
              <w:t xml:space="preserve">Design and implementation of a real-time data pipeline using Apache Kafka and Spark for the Kenya Nairobi operations center</w:t>
            </w:r>
          </w:p>
        </w:tc>
        <w:tc>
          <w:tcPr/>
          <w:p>
            <w:pPr>
              <w:pStyle w:val="Compact"/>
              <w:jc w:val="left"/>
            </w:pPr>
            <w:r>
              <w:t xml:space="preserve">8 days</w:t>
            </w:r>
          </w:p>
        </w:tc>
        <w:tc>
          <w:tcPr/>
          <w:p>
            <w:pPr>
              <w:pStyle w:val="Compact"/>
              <w:jc w:val="left"/>
            </w:pPr>
            <w:r>
              <w:t xml:space="preserve">30,000</w:t>
            </w:r>
          </w:p>
        </w:tc>
        <w:tc>
          <w:tcPr/>
          <w:p>
            <w:pPr>
              <w:pStyle w:val="Compact"/>
              <w:jc w:val="left"/>
            </w:pPr>
            <w:r>
              <w:t xml:space="preserve">240,000</w:t>
            </w:r>
          </w:p>
        </w:tc>
        <w:tc>
          <w:tcPr/>
          <w:p>
            <w:pPr>
              <w:pStyle w:val="Compact"/>
              <w:jc w:val="left"/>
            </w:pPr>
            <w:r>
              <w:t xml:space="preserve">Pipeline Architecture Doc</w:t>
            </w:r>
          </w:p>
        </w:tc>
      </w:tr>
      <w:tr>
        <w:tc>
          <w:tcPr/>
          <w:p>
            <w:pPr>
              <w:pStyle w:val="Compact"/>
              <w:jc w:val="left"/>
            </w:pPr>
            <w:r>
              <w:t xml:space="preserve">4</w:t>
            </w:r>
          </w:p>
        </w:tc>
        <w:tc>
          <w:tcPr/>
          <w:p>
            <w:pPr>
              <w:pStyle w:val="Compact"/>
              <w:jc w:val="left"/>
            </w:pPr>
            <w:r>
              <w:t xml:space="preserve">Creation of interactive dashboards and visual analytics reports using Tableau and Power BI for executive stakeholders</w:t>
            </w:r>
          </w:p>
        </w:tc>
        <w:tc>
          <w:tcPr/>
          <w:p>
            <w:pPr>
              <w:pStyle w:val="Compact"/>
              <w:jc w:val="left"/>
            </w:pPr>
            <w:r>
              <w:t xml:space="preserve">4 days</w:t>
            </w:r>
          </w:p>
        </w:tc>
        <w:tc>
          <w:tcPr/>
          <w:p>
            <w:pPr>
              <w:pStyle w:val="Compact"/>
              <w:jc w:val="left"/>
            </w:pPr>
            <w:r>
              <w:t xml:space="preserve">28,000</w:t>
            </w:r>
          </w:p>
        </w:tc>
        <w:tc>
          <w:tcPr/>
          <w:p>
            <w:pPr>
              <w:pStyle w:val="Compact"/>
              <w:jc w:val="left"/>
            </w:pPr>
            <w:r>
              <w:t xml:space="preserve">112,000</w:t>
            </w:r>
          </w:p>
        </w:tc>
        <w:tc>
          <w:tcPr/>
          <w:p>
            <w:pPr>
              <w:pStyle w:val="Compact"/>
              <w:jc w:val="left"/>
            </w:pPr>
            <w:r>
              <w:t xml:space="preserve">Dashboard Suite (3 panels)</w:t>
            </w:r>
          </w:p>
        </w:tc>
      </w:tr>
      <w:tr>
        <w:tc>
          <w:tcPr/>
          <w:p>
            <w:pPr>
              <w:pStyle w:val="Compact"/>
              <w:jc w:val="left"/>
            </w:pPr>
            <w:r>
              <w:t xml:space="preserve">5</w:t>
            </w:r>
          </w:p>
        </w:tc>
        <w:tc>
          <w:tcPr/>
          <w:p>
            <w:pPr>
              <w:pStyle w:val="Compact"/>
              <w:jc w:val="left"/>
            </w:pPr>
            <w:r>
              <w:t xml:space="preserve">On-site consultation and knowledge transfer workshop for the internal data team at the Kenya Nairobi headquarters</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Workshop Materials + Recording</w:t>
            </w:r>
          </w:p>
        </w:tc>
      </w:tr>
      <w:tr>
        <w:tc>
          <w:tcPr/>
          <w:p>
            <w:pPr>
              <w:pStyle w:val="Compact"/>
              <w:jc w:val="left"/>
            </w:pPr>
            <w:r>
              <w:t xml:space="preserve">6</w:t>
            </w:r>
          </w:p>
        </w:tc>
        <w:tc>
          <w:tcPr/>
          <w:p>
            <w:pPr>
              <w:pStyle w:val="Compact"/>
              <w:jc w:val="left"/>
            </w:pPr>
            <w:r>
              <w:t xml:space="preserve">Post-deployment monitoring, model retraining, and performance optimization for the first 30-day support window</w:t>
            </w:r>
          </w:p>
        </w:tc>
        <w:tc>
          <w:tcPr/>
          <w:p>
            <w:pPr>
              <w:pStyle w:val="Compact"/>
              <w:jc w:val="left"/>
            </w:pPr>
            <w:r>
              <w:t xml:space="preserve">30 days</w:t>
            </w:r>
          </w:p>
        </w:tc>
        <w:tc>
          <w:tcPr/>
          <w:p>
            <w:pPr>
              <w:pStyle w:val="Compact"/>
              <w:jc w:val="left"/>
            </w:pPr>
            <w:r>
              <w:t xml:space="preserve">15,000</w:t>
            </w:r>
          </w:p>
        </w:tc>
        <w:tc>
          <w:tcPr/>
          <w:p>
            <w:pPr>
              <w:pStyle w:val="Compact"/>
              <w:jc w:val="left"/>
            </w:pPr>
            <w:r>
              <w:t xml:space="preserve">450,000</w:t>
            </w:r>
          </w:p>
        </w:tc>
        <w:tc>
          <w:tcPr/>
          <w:p>
            <w:pPr>
              <w:pStyle w:val="Compact"/>
              <w:jc w:val="left"/>
            </w:pPr>
            <w:r>
              <w:t xml:space="preserve">Monthly Performance Report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1,367,000.00</w:t>
            </w:r>
          </w:p>
        </w:tc>
      </w:tr>
      <w:tr>
        <w:tc>
          <w:tcPr/>
          <w:p>
            <w:pPr>
              <w:pStyle w:val="Compact"/>
              <w:jc w:val="left"/>
            </w:pPr>
            <w:r>
              <w:t xml:space="preserve">VAT (16%)</w:t>
            </w:r>
          </w:p>
        </w:tc>
        <w:tc>
          <w:tcPr/>
          <w:p>
            <w:pPr>
              <w:pStyle w:val="Compact"/>
              <w:jc w:val="left"/>
            </w:pPr>
            <w:r>
              <w:t xml:space="preserve">KES 218,720.00</w:t>
            </w:r>
          </w:p>
        </w:tc>
      </w:tr>
      <w:tr>
        <w:tc>
          <w:tcPr/>
          <w:p>
            <w:pPr>
              <w:pStyle w:val="Compact"/>
              <w:jc w:val="left"/>
            </w:pPr>
            <w:r>
              <w:t xml:space="preserve">Withholding Tax (5%)</w:t>
            </w:r>
          </w:p>
        </w:tc>
        <w:tc>
          <w:tcPr/>
          <w:p>
            <w:pPr>
              <w:pStyle w:val="Compact"/>
              <w:jc w:val="left"/>
            </w:pPr>
            <w:r>
              <w:t xml:space="preserve">- KES 68,350.00</w:t>
            </w:r>
          </w:p>
        </w:tc>
      </w:tr>
      <w:tr>
        <w:tc>
          <w:tcPr/>
          <w:p>
            <w:pPr>
              <w:pStyle w:val="Compact"/>
              <w:jc w:val="left"/>
            </w:pPr>
            <w:r>
              <w:t xml:space="preserve">NET AMOUNT DUE</w:t>
            </w:r>
          </w:p>
        </w:tc>
        <w:tc>
          <w:tcPr/>
          <w:p>
            <w:pPr>
              <w:pStyle w:val="Compact"/>
              <w:jc w:val="left"/>
            </w:pPr>
            <w:r>
              <w:t xml:space="preserve">KES 1,517,370.00</w:t>
            </w:r>
          </w:p>
        </w:tc>
      </w:tr>
    </w:tbl>
    <w:bookmarkStart w:id="24" w:name="payment-instructions-this-invoice"/>
    <w:p>
      <w:pPr>
        <w:pStyle w:val="Heading3"/>
      </w:pPr>
      <w:r>
        <w:t xml:space="preserve">Payment Instructions – This Invoice</w:t>
      </w:r>
    </w:p>
    <w:p>
      <w:pPr>
        <w:pStyle w:val="FirstParagraph"/>
      </w:pPr>
      <w:r>
        <w:rPr>
          <w:bCs/>
          <w:b/>
        </w:rPr>
        <w:t xml:space="preserve">Bank Transfer:</w:t>
      </w:r>
      <w:r>
        <w:t xml:space="preserve"> </w:t>
      </w:r>
      <w:r>
        <w:t xml:space="preserve">Equity Bank, Kenya Nairobi Branch</w:t>
      </w:r>
    </w:p>
    <w:p>
      <w:pPr>
        <w:pStyle w:val="BodyText"/>
      </w:pPr>
      <w:r>
        <w:t xml:space="preserve">Account Name: Insight Analytics Kenya Ltd.</w:t>
      </w:r>
    </w:p>
    <w:p>
      <w:pPr>
        <w:pStyle w:val="BodyText"/>
      </w:pPr>
      <w:r>
        <w:t xml:space="preserve">Account Number: 0123456789 | Branch Code: 0100-001</w:t>
      </w:r>
    </w:p>
    <w:p>
      <w:pPr>
        <w:pStyle w:val="BodyText"/>
      </w:pPr>
      <w:r>
        <w:rPr>
          <w:bCs/>
          <w:b/>
        </w:rPr>
        <w:t xml:space="preserve">M-Pesa (Business Pay):</w:t>
      </w:r>
      <w:r>
        <w:t xml:space="preserve"> </w:t>
      </w:r>
      <w:r>
        <w:t xml:space="preserve">0700 123 456 (Till: 884521)</w:t>
      </w:r>
    </w:p>
    <w:p>
      <w:pPr>
        <w:pStyle w:val="BodyText"/>
      </w:pPr>
      <w:r>
        <w:rPr>
          <w:bCs/>
          <w:b/>
        </w:rPr>
        <w:t xml:space="preserve">Reference:</w:t>
      </w:r>
      <w:r>
        <w:t xml:space="preserve"> </w:t>
      </w:r>
      <w:r>
        <w:t xml:space="preserve">Please quote Invoice No. IA-2025-00847 in all payment communications.</w:t>
      </w:r>
    </w:p>
    <w:p>
      <w:pPr>
        <w:pStyle w:val="BodyText"/>
      </w:pPr>
      <w:r>
        <w:rPr>
          <w:bCs/>
          <w:b/>
        </w:rPr>
        <w:t xml:space="preserve">Payment Window:</w:t>
      </w:r>
      <w:r>
        <w:t xml:space="preserve"> </w:t>
      </w:r>
      <w:r>
        <w:t xml:space="preserve">This Invoice is payable within 14 calendar days from the date of issue. Late payments will attract a 2% monthly interest charge as per Kenyan commercial law.</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represents the full and final billing for all Data Scientist professional services rendered under Contract Reference CTR-DS-2025-044, executed in Kenya Nairobi.</w:t>
      </w:r>
    </w:p>
    <w:p>
      <w:pPr>
        <w:numPr>
          <w:ilvl w:val="0"/>
          <w:numId w:val="1001"/>
        </w:numPr>
        <w:pStyle w:val="Compact"/>
      </w:pPr>
      <w:r>
        <w:t xml:space="preserve">All rates quoted in this Invoice are in Kenyan Shillings (KES) and are inclusive of the Data Scientist's professional expertise, travel within Kenya Nairobi, and standard software tooling.</w:t>
      </w:r>
    </w:p>
    <w:p>
      <w:pPr>
        <w:numPr>
          <w:ilvl w:val="0"/>
          <w:numId w:val="1001"/>
        </w:numPr>
        <w:pStyle w:val="Compact"/>
      </w:pPr>
      <w:r>
        <w:t xml:space="preserve">The Data Scientist retains full intellectual property rights over proprietary algorithms, methodologies, and code frameworks developed independently prior to this engagement. All custom models and deliverables created specifically for the client under this Invoice become the property of the client upon full payment.</w:t>
      </w:r>
    </w:p>
    <w:p>
      <w:pPr>
        <w:numPr>
          <w:ilvl w:val="0"/>
          <w:numId w:val="1001"/>
        </w:numPr>
        <w:pStyle w:val="Compact"/>
      </w:pPr>
      <w:r>
        <w:t xml:space="preserve">Any additional scope of work beyond the items listed in this Invoice will be subject to a separate change order and supplementary Invoice, requiring written approval from both parties.</w:t>
      </w:r>
    </w:p>
    <w:p>
      <w:pPr>
        <w:numPr>
          <w:ilvl w:val="0"/>
          <w:numId w:val="1001"/>
        </w:numPr>
        <w:pStyle w:val="Compact"/>
      </w:pPr>
      <w:r>
        <w:t xml:space="preserve">This Invoice is governed by the laws of the Republic of Kenya. Any disputes arising from this Invoice shall be resolved through arbitration in Kenya Nairobi in accordance with the Arbitration Act, 1995.</w:t>
      </w:r>
    </w:p>
    <w:p>
      <w:pPr>
        <w:numPr>
          <w:ilvl w:val="0"/>
          <w:numId w:val="1001"/>
        </w:numPr>
        <w:pStyle w:val="Compact"/>
      </w:pPr>
      <w:r>
        <w:t xml:space="preserve">The Data Scientist confirms that all services described in this Invoice comply with the Kenya Data Protection Act, 2019, and all client data will be handled in strict accordance with applicable privacy regulations.</w:t>
      </w:r>
    </w:p>
    <w:p>
      <w:pPr>
        <w:numPr>
          <w:ilvl w:val="0"/>
          <w:numId w:val="1001"/>
        </w:numPr>
        <w:pStyle w:val="Compact"/>
      </w:pPr>
      <w:r>
        <w:t xml:space="preserve">Failure to settle this Invoice by the stated due date of 30 June 2025 will result in a suspension of ongoing support services and the initiation of standard debt recovery procedures as permitted under Kenyan law.</w:t>
      </w:r>
    </w:p>
    <w:bookmarkEnd w:id="25"/>
    <w:p>
      <w:pPr>
        <w:pStyle w:val="FirstParagraph"/>
      </w:pPr>
      <w:r>
        <w:rPr>
          <w:bCs/>
          <w:b/>
        </w:rPr>
        <w:t xml:space="preserve">Certification:</w:t>
      </w:r>
      <w:r>
        <w:t xml:space="preserve"> </w:t>
      </w:r>
      <w:r>
        <w:t xml:space="preserve">I, Dr. Amina Otieno, hereby certify that this Invoice accurately reflects the Data Scientist services professionally rendered in Kenya Nairobi during the period of 1 June 2025 to 15 June 2025. All figures have been verified and are submitted in good faith for the purpose of settlement.</w:t>
      </w:r>
    </w:p>
    <w:p>
      <w:pPr>
        <w:pStyle w:val="BodyText"/>
      </w:pPr>
      <w:r>
        <w:t xml:space="preserve">Signed: ___________________________     Date: 15 June 2025</w:t>
      </w:r>
    </w:p>
    <w:p>
      <w:pPr>
        <w:pStyle w:val="BodyText"/>
      </w:pPr>
      <w:r>
        <w:t xml:space="preserve">Dr. Amina Otieno, PhD – Lead Data Scientist, Insight Analytics Kenya Ltd.</w:t>
      </w:r>
    </w:p>
    <w:p>
      <w:pPr>
        <w:pStyle w:val="BodyText"/>
      </w:pPr>
      <w:r>
        <w:t xml:space="preserve">Thank you for your business. This Invoice was generated electronically and is valid without a physical signature.</w:t>
      </w:r>
    </w:p>
    <w:p>
      <w:pPr>
        <w:pStyle w:val="BodyText"/>
      </w:pPr>
      <w:r>
        <w:t xml:space="preserve">Insight Analytics Kenya Ltd. | Kenya Nairobi | KRA PIN: P051234567X | MRA: 112345678</w:t>
      </w:r>
    </w:p>
    <w:p>
      <w:pPr>
        <w:pStyle w:val="BodyText"/>
      </w:pPr>
      <w:r>
        <w:t xml:space="preserve">For queries regarding this Invoice, contact billing@insightanalytics.co.ke or call +254 700 123 456 (Mon–Fri, 8:00 AM – 5:00 PM EAT).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Kenya Nairobi</dc:title>
  <dc:creator/>
  <dc:language>en</dc:language>
  <cp:keywords/>
  <dcterms:created xsi:type="dcterms:W3CDTF">2026-10-10T02:16:23Z</dcterms:created>
  <dcterms:modified xsi:type="dcterms:W3CDTF">2026-10-10T02:16:23Z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