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Data Scientist Services — Malaysia Kuala Lumpur</w:t>
      </w:r>
    </w:p>
    <w:p>
      <w:pPr>
        <w:pStyle w:val="BodyText"/>
      </w:pPr>
      <w:r>
        <w:t xml:space="preserve">PAID — CONFIRMED</w:t>
      </w:r>
    </w:p>
    <w:bookmarkEnd w:id="20"/>
    <w:bookmarkStart w:id="21" w:name="insight-analytics-sdn.-bhd."/>
    <w:p>
      <w:pPr>
        <w:pStyle w:val="Heading3"/>
      </w:pPr>
      <w:r>
        <w:t xml:space="preserve">Insight Analytics Sdn. Bhd.</w:t>
      </w:r>
    </w:p>
    <w:p>
      <w:pPr>
        <w:pStyle w:val="FirstParagraph"/>
      </w:pPr>
      <w:r>
        <w:t xml:space="preserve">Level 24, Menara Maxis</w:t>
      </w:r>
    </w:p>
    <w:p>
      <w:pPr>
        <w:pStyle w:val="BodyText"/>
      </w:pPr>
      <w:r>
        <w:t xml:space="preserve">Jalan Tun Razak, 50400</w:t>
      </w:r>
    </w:p>
    <w:p>
      <w:pPr>
        <w:pStyle w:val="BodyText"/>
      </w:pPr>
      <w:r>
        <w:t xml:space="preserve">Malaysia Kuala Lumpur</w:t>
      </w:r>
    </w:p>
    <w:p>
      <w:pPr>
        <w:pStyle w:val="BodyText"/>
      </w:pPr>
      <w:r>
        <w:t xml:space="preserve">Tel: +60 3-2181 8888</w:t>
      </w:r>
    </w:p>
    <w:p>
      <w:pPr>
        <w:pStyle w:val="BodyText"/>
      </w:pPr>
      <w:r>
        <w:t xml:space="preserve">Email: billing@insightanalytics.my</w:t>
      </w:r>
    </w:p>
    <w:p>
      <w:pPr>
        <w:pStyle w:val="BodyText"/>
      </w:pPr>
      <w:r>
        <w:t xml:space="preserve">Reg. No: 201901045678 (K)</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INV-2025-KL-00847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Malaysian Ringgit (MYR)</w:t>
      </w:r>
    </w:p>
    <w:bookmarkEnd w:id="22"/>
    <w:bookmarkStart w:id="23" w:name="billed-to"/>
    <w:p>
      <w:pPr>
        <w:pStyle w:val="Heading4"/>
      </w:pPr>
      <w:r>
        <w:t xml:space="preserve">Billed To</w:t>
      </w:r>
    </w:p>
    <w:p>
      <w:pPr>
        <w:pStyle w:val="FirstParagraph"/>
      </w:pPr>
      <w:r>
        <w:rPr>
          <w:bCs/>
          <w:b/>
        </w:rPr>
        <w:t xml:space="preserve">Client:</w:t>
      </w:r>
      <w:r>
        <w:t xml:space="preserve"> </w:t>
      </w:r>
      <w:r>
        <w:t xml:space="preserve">Petronas Digital Solutions Sdn. Bhd.</w:t>
      </w:r>
    </w:p>
    <w:p>
      <w:pPr>
        <w:pStyle w:val="BodyText"/>
      </w:pPr>
      <w:r>
        <w:rPr>
          <w:bCs/>
          <w:b/>
        </w:rPr>
        <w:t xml:space="preserve">Attn:</w:t>
      </w:r>
      <w:r>
        <w:t xml:space="preserve"> </w:t>
      </w:r>
      <w:r>
        <w:t xml:space="preserve">Mr. Ahmad Faizal bin Rahman</w:t>
      </w:r>
    </w:p>
    <w:p>
      <w:pPr>
        <w:pStyle w:val="BodyText"/>
      </w:pPr>
      <w:r>
        <w:rPr>
          <w:bCs/>
          <w:b/>
        </w:rPr>
        <w:t xml:space="preserve">Address:</w:t>
      </w:r>
      <w:r>
        <w:t xml:space="preserve"> </w:t>
      </w:r>
      <w:r>
        <w:t xml:space="preserve">Lot 1, Persiaran KLCC</w:t>
      </w:r>
    </w:p>
    <w:p>
      <w:pPr>
        <w:pStyle w:val="BodyText"/>
      </w:pPr>
      <w:r>
        <w:t xml:space="preserve">50088 Malaysia Kuala Lumpur</w:t>
      </w:r>
    </w:p>
    <w:p>
      <w:pPr>
        <w:pStyle w:val="BodyText"/>
      </w:pPr>
      <w:r>
        <w:rPr>
          <w:bCs/>
          <w:b/>
        </w:rPr>
        <w:t xml:space="preserve">Tax ID (TIN):</w:t>
      </w:r>
      <w:r>
        <w:t xml:space="preserve"> </w:t>
      </w:r>
      <w:r>
        <w:t xml:space="preserve">001234567890</w:t>
      </w:r>
    </w:p>
    <w:p>
      <w:pPr>
        <w:pStyle w:val="BodyText"/>
      </w:pPr>
      <w:r>
        <w:rPr>
          <w:bCs/>
          <w:b/>
        </w:rPr>
        <w:t xml:space="preserve">Email:</w:t>
      </w:r>
      <w:r>
        <w:t xml:space="preserve"> </w:t>
      </w:r>
      <w:r>
        <w:t xml:space="preserve">a.faizal@petronasdigital.com.my</w:t>
      </w:r>
    </w:p>
    <w:bookmarkEnd w:id="23"/>
    <w:bookmarkStart w:id="26" w:name="Xe317163fc5a1c5b0cade713e6f44cfa3fac2cfc"/>
    <w:p>
      <w:pPr>
        <w:pStyle w:val="Heading3"/>
      </w:pPr>
      <w:r>
        <w:t xml:space="preserve">Description of Data Scientist Services Rendered</w:t>
      </w:r>
    </w:p>
    <w:p>
      <w:pPr>
        <w:pStyle w:val="FirstParagraph"/>
      </w:pPr>
      <w:r>
        <w:t xml:space="preserve">The following Invoice covers the professional engagement of a senior Data Scientist by Insight Analytics Sdn. Bhd. to deliver advanced analytics, machine learning model development, and data strategy consulting for the client's operations in Malaysia Kuala Lumpur. All services were performed in accordance with the Statement of Work (SOW) dated 1 March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Data Scientist</w:t>
            </w:r>
          </w:p>
        </w:tc>
        <w:tc>
          <w:tcPr/>
          <w:p>
            <w:pPr>
              <w:pStyle w:val="Compact"/>
              <w:jc w:val="left"/>
            </w:pPr>
            <w:r>
              <w:t xml:space="preserve">Hours</w:t>
            </w:r>
          </w:p>
        </w:tc>
        <w:tc>
          <w:tcPr/>
          <w:p>
            <w:pPr>
              <w:pStyle w:val="Compact"/>
              <w:jc w:val="left"/>
            </w:pPr>
            <w:r>
              <w:t xml:space="preserve">Rate (MYR/hr)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End-to-end predictive maintenance model development using Python, scikit-learn, and TensorFlow for industrial sensor data. Includes data preprocessing, feature engineering, model training, validation, and deployment to the client's on-premise server in Malaysia Kuala Lumpur.</w:t>
            </w:r>
          </w:p>
        </w:tc>
        <w:tc>
          <w:tcPr/>
          <w:p>
            <w:pPr>
              <w:pStyle w:val="Compact"/>
              <w:jc w:val="left"/>
            </w:pPr>
            <w:r>
              <w:t xml:space="preserve">Dr. Lim Wei Xuan</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Natural Language Processing (NLP) pipeline design for multilingual customer feedback analysis (Bahasa Malaysia, English, Mandarin). The Data Scientist delivered a transformer-based sentiment classification model achieving 94.2% F1-score on the test dataset.</w:t>
            </w:r>
          </w:p>
        </w:tc>
        <w:tc>
          <w:tcPr/>
          <w:p>
            <w:pPr>
              <w:pStyle w:val="Compact"/>
              <w:jc w:val="left"/>
            </w:pPr>
            <w:r>
              <w:t xml:space="preserve">Dr. Lim Wei Xuan</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Business intelligence dashboard architecture and implementation using Power BI and Azure Data Lake. The Data Scientist designed the data warehouse schema, ETL workflows, and interactive visualisation layer for executive reporting in Malaysia Kuala Lumpur.</w:t>
            </w:r>
          </w:p>
        </w:tc>
        <w:tc>
          <w:tcPr/>
          <w:p>
            <w:pPr>
              <w:pStyle w:val="Compact"/>
              <w:jc w:val="left"/>
            </w:pPr>
            <w:r>
              <w:t xml:space="preserve">Mr. Rajesh Kumar</w:t>
            </w:r>
          </w:p>
        </w:tc>
        <w:tc>
          <w:tcPr/>
          <w:p>
            <w:pPr>
              <w:pStyle w:val="Compact"/>
              <w:jc w:val="left"/>
            </w:pPr>
            <w:r>
              <w:t xml:space="preserve">60</w:t>
            </w:r>
          </w:p>
        </w:tc>
        <w:tc>
          <w:tcPr/>
          <w:p>
            <w:pPr>
              <w:pStyle w:val="Compact"/>
              <w:jc w:val="left"/>
            </w:pPr>
            <w:r>
              <w:t xml:space="preserve">380.00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Statistical process control and anomaly detection system for supply chain logistics. Includes time-series forecasting with Prophet and LSTM networks, threshold calibration, and automated alerting via Microsoft Teams integration.</w:t>
            </w:r>
          </w:p>
        </w:tc>
        <w:tc>
          <w:tcPr/>
          <w:p>
            <w:pPr>
              <w:pStyle w:val="Compact"/>
              <w:jc w:val="left"/>
            </w:pPr>
            <w:r>
              <w:t xml:space="preserve">Mr. Rajesh Kumar</w:t>
            </w:r>
          </w:p>
        </w:tc>
        <w:tc>
          <w:tcPr/>
          <w:p>
            <w:pPr>
              <w:pStyle w:val="Compact"/>
              <w:jc w:val="left"/>
            </w:pPr>
            <w:r>
              <w:t xml:space="preserve">45</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05</w:t>
            </w:r>
          </w:p>
        </w:tc>
        <w:tc>
          <w:tcPr/>
          <w:p>
            <w:pPr>
              <w:pStyle w:val="Compact"/>
              <w:jc w:val="left"/>
            </w:pPr>
            <w:r>
              <w:t xml:space="preserve">On-site data strategy workshop and team upskilling sessions (3 days) conducted at the client's headquarters in Malaysia Kuala Lumpur. The lead Data Scientist delivered hands-on training on MLOps best practices, model governance, and ethical AI frameworks aligned with Malaysia's Personal Data Protection Act 2010 (PDPA).</w:t>
            </w:r>
          </w:p>
        </w:tc>
        <w:tc>
          <w:tcPr/>
          <w:p>
            <w:pPr>
              <w:pStyle w:val="Compact"/>
              <w:jc w:val="left"/>
            </w:pPr>
            <w:r>
              <w:t xml:space="preserve">Dr. Lim Wei Xuan</w:t>
            </w:r>
          </w:p>
        </w:tc>
        <w:tc>
          <w:tcPr/>
          <w:p>
            <w:pPr>
              <w:pStyle w:val="Compact"/>
              <w:jc w:val="left"/>
            </w:pPr>
            <w:r>
              <w:t xml:space="preserve">24</w:t>
            </w:r>
          </w:p>
        </w:tc>
        <w:tc>
          <w:tcPr/>
          <w:p>
            <w:pPr>
              <w:pStyle w:val="Compact"/>
              <w:jc w:val="left"/>
            </w:pPr>
            <w:r>
              <w:t xml:space="preserve">520.00</w:t>
            </w:r>
          </w:p>
        </w:tc>
        <w:tc>
          <w:tcPr/>
          <w:p>
            <w:pPr>
              <w:pStyle w:val="Compact"/>
              <w:jc w:val="left"/>
            </w:pPr>
            <w:r>
              <w:t xml:space="preserve">12,480.00</w:t>
            </w:r>
          </w:p>
        </w:tc>
      </w:tr>
      <w:tr>
        <w:tc>
          <w:tcPr/>
          <w:p>
            <w:pPr>
              <w:pStyle w:val="Compact"/>
              <w:jc w:val="left"/>
            </w:pPr>
            <w:r>
              <w:t xml:space="preserve">06</w:t>
            </w:r>
          </w:p>
        </w:tc>
        <w:tc>
          <w:tcPr/>
          <w:p>
            <w:pPr>
              <w:pStyle w:val="Compact"/>
              <w:jc w:val="left"/>
            </w:pPr>
            <w:r>
              <w:t xml:space="preserve">Project documentation, technical report writing, and final deliverable handover. Includes comprehensive model cards, data lineage documentation, API specifications, and a 60-page executive summary report for the Malaysia Kuala Lumpur operations division.</w:t>
            </w:r>
          </w:p>
        </w:tc>
        <w:tc>
          <w:tcPr/>
          <w:p>
            <w:pPr>
              <w:pStyle w:val="Compact"/>
              <w:jc w:val="left"/>
            </w:pPr>
            <w:r>
              <w:t xml:space="preserve">Dr. Lim Wei Xuan</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MYR 149,580.00</w:t>
            </w:r>
          </w:p>
        </w:tc>
      </w:tr>
      <w:tr>
        <w:tc>
          <w:tcPr/>
          <w:p>
            <w:pPr>
              <w:pStyle w:val="Compact"/>
              <w:jc w:val="left"/>
            </w:pPr>
            <w:r>
              <w:t xml:space="preserve">SST @ 6% (Sales &amp; Service Tax)</w:t>
            </w:r>
          </w:p>
        </w:tc>
        <w:tc>
          <w:tcPr/>
          <w:p>
            <w:pPr>
              <w:pStyle w:val="Compact"/>
              <w:jc w:val="right"/>
            </w:pPr>
            <w:r>
              <w:t xml:space="preserve">MYR 8,974.80</w:t>
            </w:r>
          </w:p>
        </w:tc>
      </w:tr>
      <w:tr>
        <w:tc>
          <w:tcPr/>
          <w:p>
            <w:pPr>
              <w:pStyle w:val="Compact"/>
              <w:jc w:val="left"/>
            </w:pPr>
            <w:r>
              <w:t xml:space="preserve">Travel &amp; Accommodation (Malaysia Kuala Lumpur)</w:t>
            </w:r>
          </w:p>
        </w:tc>
        <w:tc>
          <w:tcPr/>
          <w:p>
            <w:pPr>
              <w:pStyle w:val="Compact"/>
              <w:jc w:val="right"/>
            </w:pPr>
            <w:r>
              <w:t xml:space="preserve">MYR 3,250.00</w:t>
            </w:r>
          </w:p>
        </w:tc>
      </w:tr>
      <w:tr>
        <w:tc>
          <w:tcPr/>
          <w:p>
            <w:pPr>
              <w:pStyle w:val="Compact"/>
              <w:jc w:val="left"/>
            </w:pPr>
            <w:r>
              <w:t xml:space="preserve">Cloud Compute &amp; Software Licences</w:t>
            </w:r>
          </w:p>
        </w:tc>
        <w:tc>
          <w:tcPr/>
          <w:p>
            <w:pPr>
              <w:pStyle w:val="Compact"/>
              <w:jc w:val="right"/>
            </w:pPr>
            <w:r>
              <w:t xml:space="preserve">MYR 4,860.00</w:t>
            </w:r>
          </w:p>
        </w:tc>
      </w:tr>
      <w:tr>
        <w:tc>
          <w:tcPr/>
          <w:p>
            <w:pPr>
              <w:pStyle w:val="Compact"/>
              <w:jc w:val="left"/>
            </w:pPr>
            <w:r>
              <w:t xml:space="preserve">GRAND TOTAL</w:t>
            </w:r>
          </w:p>
        </w:tc>
        <w:tc>
          <w:tcPr/>
          <w:p>
            <w:pPr>
              <w:pStyle w:val="Compact"/>
              <w:jc w:val="right"/>
            </w:pPr>
            <w:r>
              <w:t xml:space="preserve">MYR 166,664.80</w:t>
            </w:r>
          </w:p>
        </w:tc>
      </w:tr>
    </w:tbl>
    <w:bookmarkStart w:id="24" w:name="payment-terms-instructions"/>
    <w:p>
      <w:pPr>
        <w:pStyle w:val="Heading4"/>
      </w:pPr>
      <w:r>
        <w:t xml:space="preserve">Payment Terms &amp; Instructions</w:t>
      </w:r>
    </w:p>
    <w:p>
      <w:pPr>
        <w:pStyle w:val="FirstParagraph"/>
      </w:pPr>
      <w:r>
        <w:t xml:space="preserve">This Invoice is payable within fifteen (15) calendar days from the issue date via bank transfer to the account below. Please reference the Invoice number</w:t>
      </w:r>
      <w:r>
        <w:t xml:space="preserve"> </w:t>
      </w:r>
      <w:r>
        <w:rPr>
          <w:bCs/>
          <w:b/>
        </w:rPr>
        <w:t xml:space="preserve">INV-2025-KL-00847</w:t>
      </w:r>
      <w:r>
        <w:t xml:space="preserve"> </w:t>
      </w:r>
      <w:r>
        <w:t xml:space="preserve">in your payment remittance. Late payments are subject to a 2% monthly interest charge as stipulated in the master service agreement. All amounts are denominated in Malaysian Ringgit (MYR) and are subject to the prevailing Sales and Service Tax (SST) rate applicable in Malaysia Kuala Lumpur.</w:t>
      </w:r>
    </w:p>
    <w:p>
      <w:pPr>
        <w:pStyle w:val="BodyText"/>
      </w:pPr>
      <w:r>
        <w:rPr>
          <w:bCs/>
          <w:b/>
        </w:rPr>
        <w:t xml:space="preserve">Bank:</w:t>
      </w:r>
      <w:r>
        <w:t xml:space="preserve"> </w:t>
      </w:r>
      <w:r>
        <w:t xml:space="preserve">Maybank Berhad  | </w:t>
      </w:r>
      <w:r>
        <w:t xml:space="preserve"> </w:t>
      </w:r>
      <w:r>
        <w:rPr>
          <w:bCs/>
          <w:b/>
        </w:rPr>
        <w:t xml:space="preserve">Account Name:</w:t>
      </w:r>
      <w:r>
        <w:t xml:space="preserve"> </w:t>
      </w:r>
      <w:r>
        <w:t xml:space="preserve">Insight Analytics Sdn. Bhd.  | </w:t>
      </w:r>
      <w:r>
        <w:t xml:space="preserve"> </w:t>
      </w:r>
      <w:r>
        <w:rPr>
          <w:bCs/>
          <w:b/>
        </w:rPr>
        <w:t xml:space="preserve">Account No:</w:t>
      </w:r>
      <w:r>
        <w:t xml:space="preserve"> </w:t>
      </w:r>
      <w:r>
        <w:t xml:space="preserve">5123 4567 8901  | </w:t>
      </w:r>
      <w:r>
        <w:t xml:space="preserve"> </w:t>
      </w:r>
      <w:r>
        <w:rPr>
          <w:bCs/>
          <w:b/>
        </w:rPr>
        <w:t xml:space="preserve">SWIFT:</w:t>
      </w:r>
      <w:r>
        <w:t xml:space="preserve"> </w:t>
      </w:r>
      <w:r>
        <w:t xml:space="preserve">BMMBMYKL</w:t>
      </w:r>
    </w:p>
    <w:bookmarkEnd w:id="24"/>
    <w:bookmarkStart w:id="25" w:name="additional-notes-compliance-statement"/>
    <w:p>
      <w:pPr>
        <w:pStyle w:val="Heading4"/>
      </w:pPr>
      <w:r>
        <w:t xml:space="preserve">Additional Notes &amp; Compliance Statement</w:t>
      </w:r>
    </w:p>
    <w:p>
      <w:pPr>
        <w:pStyle w:val="FirstParagraph"/>
      </w:pPr>
      <w:r>
        <w:t xml:space="preserve">The Data Scientist services described in this Invoice were delivered in full compliance with the Malaysian Personal Data Protection Act 2010 (PDPA), the Malaysian Cybersecurity Act 2024, and all applicable data governance standards. All client data processed during the engagement was stored exclusively on servers located within Malaysia Kuala Lumpur and was not transferred to any jurisdiction outside the country. The Data Scientist team adhered to the ethical guidelines set forth by the Malaysian Association of Data Scientists (MADS) and the IEEE Code of Ethics for Artificial Intelligence. This Invoice constitutes the final and complete billing for the engagement period of 1 March 2025 to 30 May 2025. Any additional services rendered beyond the scope of the original Statement of Work will be subject to a separate Invoice.</w:t>
      </w:r>
    </w:p>
    <w:bookmarkEnd w:id="25"/>
    <w:p>
      <w:pPr>
        <w:pStyle w:val="BodyText"/>
      </w:pPr>
      <w:r>
        <w:t xml:space="preserve">This Invoice was generated electronically by Insight Analytics Sdn. Bhd., registered in Malaysia Kuala Lumpur. For queries regarding this Invoice, please contact our billing department at billing@insightanalytics.my or call +60 3-2181 8888 (Mon–Fri, 9:00 AM – 5:30 PM MYT). Thank you for your business.</w:t>
      </w:r>
    </w:p>
    <w:p>
      <w:pPr>
        <w:pStyle w:val="BodyText"/>
      </w:pPr>
      <w:r>
        <w:t xml:space="preserve">© 2025 Insight Analytics Sdn. Bhd. — All Rights Reserved — Malaysia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Malaysia Kuala Lumpur</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