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amsterdam-analytics-solutions-b.v."/>
    <w:p>
      <w:pPr>
        <w:pStyle w:val="Heading1"/>
      </w:pPr>
      <w:r>
        <w:t xml:space="preserve">Amsterdam Analytics Solutions B.V.</w:t>
      </w:r>
    </w:p>
    <w:p>
      <w:pPr>
        <w:pStyle w:val="FirstParagraph"/>
      </w:pPr>
      <w:r>
        <w:t xml:space="preserve">Keizersgracht 420, 1016 GC Amsterdam</w:t>
      </w:r>
    </w:p>
    <w:p>
      <w:pPr>
        <w:pStyle w:val="BodyText"/>
      </w:pPr>
      <w:r>
        <w:t xml:space="preserve">Netherlands Amsterdam, The Netherlands</w:t>
      </w:r>
    </w:p>
    <w:p>
      <w:pPr>
        <w:pStyle w:val="BodyText"/>
      </w:pPr>
      <w:r>
        <w:t xml:space="preserve">KvK: 87654321 | BTW: NL867543212B01</w:t>
      </w:r>
    </w:p>
    <w:p>
      <w:pPr>
        <w:pStyle w:val="BodyText"/>
      </w:pPr>
      <w:r>
        <w:t xml:space="preserve">info@amsterdamanalytics.nl | +31 20 123 4567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Client:</w:t>
      </w:r>
      <w:r>
        <w:t xml:space="preserve"> </w:t>
      </w:r>
      <w:r>
        <w:t xml:space="preserve">Northwind Retail Group N.V.</w:t>
      </w:r>
    </w:p>
    <w:p>
      <w:pPr>
        <w:pStyle w:val="BodyText"/>
      </w:pPr>
      <w:r>
        <w:rPr>
          <w:bCs/>
          <w:b/>
        </w:rPr>
        <w:t xml:space="preserve">Attn:</w:t>
      </w:r>
      <w:r>
        <w:t xml:space="preserve"> </w:t>
      </w:r>
      <w:r>
        <w:t xml:space="preserve">Mr. J. van der Berg, CTO</w:t>
      </w:r>
    </w:p>
    <w:p>
      <w:pPr>
        <w:pStyle w:val="BodyText"/>
      </w:pPr>
      <w:r>
        <w:rPr>
          <w:bCs/>
          <w:b/>
        </w:rPr>
        <w:t xml:space="preserve">Address:</w:t>
      </w:r>
      <w:r>
        <w:t xml:space="preserve"> </w:t>
      </w:r>
      <w:r>
        <w:t xml:space="preserve">Herengracht 188, 1015 BS Amsterdam</w:t>
      </w:r>
    </w:p>
    <w:p>
      <w:pPr>
        <w:pStyle w:val="BodyText"/>
      </w:pPr>
      <w:r>
        <w:rPr>
          <w:bCs/>
          <w:b/>
        </w:rPr>
        <w:t xml:space="preserve">City:</w:t>
      </w:r>
      <w:r>
        <w:t xml:space="preserve"> </w:t>
      </w:r>
      <w:r>
        <w:t xml:space="preserve">Netherlands Amsterdam</w:t>
      </w:r>
    </w:p>
    <w:p>
      <w:pPr>
        <w:pStyle w:val="BodyText"/>
      </w:pPr>
      <w:r>
        <w:rPr>
          <w:bCs/>
          <w:b/>
        </w:rPr>
        <w:t xml:space="preserve">Country:</w:t>
      </w:r>
      <w:r>
        <w:t xml:space="preserve"> </w:t>
      </w:r>
      <w:r>
        <w:t xml:space="preserve">The Netherlands</w:t>
      </w:r>
    </w:p>
    <w:p>
      <w:pPr>
        <w:pStyle w:val="BodyText"/>
      </w:pPr>
      <w:r>
        <w:rPr>
          <w:bCs/>
          <w:b/>
        </w:rPr>
        <w:t xml:space="preserve">VAT ID:</w:t>
      </w:r>
      <w:r>
        <w:t xml:space="preserve"> </w:t>
      </w:r>
      <w:r>
        <w:t xml:space="preserve">NL851234567B01</w:t>
      </w:r>
    </w:p>
    <w:p>
      <w:pPr>
        <w:pStyle w:val="BodyText"/>
      </w:pPr>
      <w:r>
        <w:rPr>
          <w:bCs/>
          <w:b/>
        </w:rPr>
        <w:t xml:space="preserve">Invoice Reference:</w:t>
      </w:r>
      <w:r>
        <w:t xml:space="preserve"> </w:t>
      </w:r>
      <w:r>
        <w:t xml:space="preserve">NWR-2025-0091</w:t>
      </w:r>
    </w:p>
    <w:bookmarkEnd w:id="22"/>
    <w:bookmarkStart w:id="23" w:name="service-provider"/>
    <w:p>
      <w:pPr>
        <w:pStyle w:val="Heading3"/>
      </w:pPr>
      <w:r>
        <w:t xml:space="preserve">Service Provider</w:t>
      </w:r>
    </w:p>
    <w:p>
      <w:pPr>
        <w:pStyle w:val="FirstParagraph"/>
      </w:pPr>
      <w:r>
        <w:rPr>
          <w:bCs/>
          <w:b/>
        </w:rPr>
        <w:t xml:space="preserve">Company:</w:t>
      </w:r>
      <w:r>
        <w:t xml:space="preserve"> </w:t>
      </w:r>
      <w:r>
        <w:t xml:space="preserve">Amsterdam Analytics Solutions B.V.</w:t>
      </w:r>
    </w:p>
    <w:p>
      <w:pPr>
        <w:pStyle w:val="BodyText"/>
      </w:pPr>
      <w:r>
        <w:rPr>
          <w:bCs/>
          <w:b/>
        </w:rPr>
        <w:t xml:space="preserve">Lead Data Scientist:</w:t>
      </w:r>
      <w:r>
        <w:t xml:space="preserve"> </w:t>
      </w:r>
      <w:r>
        <w:t xml:space="preserve">Dr. Sarah de Vries</w:t>
      </w:r>
    </w:p>
    <w:p>
      <w:pPr>
        <w:pStyle w:val="BodyText"/>
      </w:pPr>
      <w:r>
        <w:rPr>
          <w:bCs/>
          <w:b/>
        </w:rPr>
        <w:t xml:space="preserve">Address:</w:t>
      </w:r>
      <w:r>
        <w:t xml:space="preserve"> </w:t>
      </w:r>
      <w:r>
        <w:t xml:space="preserve">Keizersgracht 420, 1016 GC Amsterdam</w:t>
      </w:r>
    </w:p>
    <w:p>
      <w:pPr>
        <w:pStyle w:val="BodyText"/>
      </w:pPr>
      <w:r>
        <w:rPr>
          <w:bCs/>
          <w:b/>
        </w:rPr>
        <w:t xml:space="preserve">City:</w:t>
      </w:r>
      <w:r>
        <w:t xml:space="preserve"> </w:t>
      </w:r>
      <w:r>
        <w:t xml:space="preserve">Netherlands Amsterdam</w:t>
      </w:r>
    </w:p>
    <w:p>
      <w:pPr>
        <w:pStyle w:val="BodyText"/>
      </w:pPr>
      <w:r>
        <w:rPr>
          <w:bCs/>
          <w:b/>
        </w:rPr>
        <w:t xml:space="preserve">Country:</w:t>
      </w:r>
      <w:r>
        <w:t xml:space="preserve"> </w:t>
      </w:r>
      <w:r>
        <w:t xml:space="preserve">The Netherlands</w:t>
      </w:r>
    </w:p>
    <w:p>
      <w:pPr>
        <w:pStyle w:val="BodyText"/>
      </w:pPr>
      <w:r>
        <w:rPr>
          <w:bCs/>
          <w:b/>
        </w:rPr>
        <w:t xml:space="preserve">VAT ID:</w:t>
      </w:r>
      <w:r>
        <w:t xml:space="preserve"> </w:t>
      </w:r>
      <w:r>
        <w:t xml:space="preserve">NL867543212B01</w:t>
      </w:r>
    </w:p>
    <w:p>
      <w:pPr>
        <w:pStyle w:val="BodyText"/>
      </w:pPr>
      <w:r>
        <w:rPr>
          <w:bCs/>
          <w:b/>
        </w:rPr>
        <w:t xml:space="preserve">IBAN:</w:t>
      </w:r>
      <w:r>
        <w:t xml:space="preserve"> </w:t>
      </w:r>
      <w:r>
        <w:t xml:space="preserve">NL91 ABNA 0417 1643 00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Data Scientist Services</w:t>
            </w:r>
          </w:p>
        </w:tc>
        <w:tc>
          <w:tcPr/>
          <w:p>
            <w:pPr>
              <w:pStyle w:val="Compact"/>
              <w:jc w:val="left"/>
            </w:pPr>
            <w:r>
              <w:t xml:space="preserve">Period</w:t>
            </w:r>
          </w:p>
        </w:tc>
        <w:tc>
          <w:tcPr/>
          <w:p>
            <w:pPr>
              <w:pStyle w:val="Compact"/>
              <w:jc w:val="left"/>
            </w:pPr>
            <w:r>
              <w:t xml:space="preserve">Rate (EUR)</w:t>
            </w:r>
          </w:p>
        </w:tc>
        <w:tc>
          <w:tcPr/>
          <w:p>
            <w:pPr>
              <w:pStyle w:val="Compact"/>
              <w:jc w:val="left"/>
            </w:pPr>
            <w:r>
              <w:t xml:space="preserve">Hours</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Data Scientist – Predictive Analytics Model Development:</w:t>
            </w:r>
            <w:r>
              <w:t xml:space="preserve"> </w:t>
            </w:r>
            <w:r>
              <w:t xml:space="preserve">Design, training, and deployment of machine learning models for customer churn prediction. Includes feature engineering, model selection, hyperparameter tuning, and A/B testing framework setup. Delivered as part of the Data Scientist engagement in Netherlands Amsterdam.</w:t>
            </w:r>
          </w:p>
        </w:tc>
        <w:tc>
          <w:tcPr/>
          <w:p>
            <w:pPr>
              <w:pStyle w:val="Compact"/>
              <w:jc w:val="left"/>
            </w:pPr>
            <w:r>
              <w:t xml:space="preserve">Mar 2025</w:t>
            </w:r>
          </w:p>
        </w:tc>
        <w:tc>
          <w:tcPr/>
          <w:p>
            <w:pPr>
              <w:pStyle w:val="Compact"/>
              <w:jc w:val="left"/>
            </w:pPr>
            <w:r>
              <w:t xml:space="preserve">125.00</w:t>
            </w:r>
          </w:p>
        </w:tc>
        <w:tc>
          <w:tcPr/>
          <w:p>
            <w:pPr>
              <w:pStyle w:val="Compact"/>
              <w:jc w:val="left"/>
            </w:pPr>
            <w:r>
              <w:t xml:space="preserve">80</w:t>
            </w:r>
          </w:p>
        </w:tc>
        <w:tc>
          <w:tcPr/>
          <w:p>
            <w:pPr>
              <w:pStyle w:val="Compact"/>
              <w:jc w:val="left"/>
            </w:pPr>
            <w:r>
              <w:t xml:space="preserve">10,000.00</w:t>
            </w:r>
          </w:p>
        </w:tc>
      </w:tr>
      <w:tr>
        <w:tc>
          <w:tcPr/>
          <w:p>
            <w:pPr>
              <w:pStyle w:val="Compact"/>
              <w:jc w:val="left"/>
            </w:pPr>
            <w:r>
              <w:t xml:space="preserve">2</w:t>
            </w:r>
          </w:p>
        </w:tc>
        <w:tc>
          <w:tcPr/>
          <w:p>
            <w:pPr>
              <w:pStyle w:val="Compact"/>
              <w:jc w:val="left"/>
            </w:pPr>
            <w:r>
              <w:rPr>
                <w:bCs/>
                <w:b/>
              </w:rPr>
              <w:t xml:space="preserve">Data Scientist – Natural Language Processing Pipeline:</w:t>
            </w:r>
            <w:r>
              <w:t xml:space="preserve"> </w:t>
            </w:r>
            <w:r>
              <w:t xml:space="preserve">Development of NLP-based sentiment analysis system for customer review processing. The Data Scientist configured transformer-based models, implemented preprocessing pipelines, and integrated the solution with the client's existing data warehouse in Netherlands Amsterdam.</w:t>
            </w:r>
          </w:p>
        </w:tc>
        <w:tc>
          <w:tcPr/>
          <w:p>
            <w:pPr>
              <w:pStyle w:val="Compact"/>
              <w:jc w:val="left"/>
            </w:pPr>
            <w:r>
              <w:t xml:space="preserve">Apr 2025</w:t>
            </w:r>
          </w:p>
        </w:tc>
        <w:tc>
          <w:tcPr/>
          <w:p>
            <w:pPr>
              <w:pStyle w:val="Compact"/>
              <w:jc w:val="left"/>
            </w:pPr>
            <w:r>
              <w:t xml:space="preserve">125.00</w:t>
            </w:r>
          </w:p>
        </w:tc>
        <w:tc>
          <w:tcPr/>
          <w:p>
            <w:pPr>
              <w:pStyle w:val="Compact"/>
              <w:jc w:val="left"/>
            </w:pPr>
            <w:r>
              <w:t xml:space="preserve">80</w:t>
            </w:r>
          </w:p>
        </w:tc>
        <w:tc>
          <w:tcPr/>
          <w:p>
            <w:pPr>
              <w:pStyle w:val="Compact"/>
              <w:jc w:val="left"/>
            </w:pPr>
            <w:r>
              <w:t xml:space="preserve">10,000.00</w:t>
            </w:r>
          </w:p>
        </w:tc>
      </w:tr>
      <w:tr>
        <w:tc>
          <w:tcPr/>
          <w:p>
            <w:pPr>
              <w:pStyle w:val="Compact"/>
              <w:jc w:val="left"/>
            </w:pPr>
            <w:r>
              <w:t xml:space="preserve">3</w:t>
            </w:r>
          </w:p>
        </w:tc>
        <w:tc>
          <w:tcPr/>
          <w:p>
            <w:pPr>
              <w:pStyle w:val="Compact"/>
              <w:jc w:val="left"/>
            </w:pPr>
            <w:r>
              <w:rPr>
                <w:bCs/>
                <w:b/>
              </w:rPr>
              <w:t xml:space="preserve">Data Scientist – Real-Time Recommendation Engine:</w:t>
            </w:r>
            <w:r>
              <w:t xml:space="preserve"> </w:t>
            </w:r>
            <w:r>
              <w:t xml:space="preserve">Architecture and implementation of a collaborative filtering and content-based recommendation system. The Data Scientist optimized model latency to under 50ms for production deployment. All development and testing conducted at the Netherlands Amsterdam office.</w:t>
            </w:r>
          </w:p>
        </w:tc>
        <w:tc>
          <w:tcPr/>
          <w:p>
            <w:pPr>
              <w:pStyle w:val="Compact"/>
              <w:jc w:val="left"/>
            </w:pPr>
            <w:r>
              <w:t xml:space="preserve">May 2025</w:t>
            </w:r>
          </w:p>
        </w:tc>
        <w:tc>
          <w:tcPr/>
          <w:p>
            <w:pPr>
              <w:pStyle w:val="Compact"/>
              <w:jc w:val="left"/>
            </w:pPr>
            <w:r>
              <w:t xml:space="preserve">130.00</w:t>
            </w:r>
          </w:p>
        </w:tc>
        <w:tc>
          <w:tcPr/>
          <w:p>
            <w:pPr>
              <w:pStyle w:val="Compact"/>
              <w:jc w:val="left"/>
            </w:pPr>
            <w:r>
              <w:t xml:space="preserve">80</w:t>
            </w:r>
          </w:p>
        </w:tc>
        <w:tc>
          <w:tcPr/>
          <w:p>
            <w:pPr>
              <w:pStyle w:val="Compact"/>
              <w:jc w:val="left"/>
            </w:pPr>
            <w:r>
              <w:t xml:space="preserve">10,400.00</w:t>
            </w:r>
          </w:p>
        </w:tc>
      </w:tr>
      <w:tr>
        <w:tc>
          <w:tcPr/>
          <w:p>
            <w:pPr>
              <w:pStyle w:val="Compact"/>
              <w:jc w:val="left"/>
            </w:pPr>
            <w:r>
              <w:t xml:space="preserve">4</w:t>
            </w:r>
          </w:p>
        </w:tc>
        <w:tc>
          <w:tcPr/>
          <w:p>
            <w:pPr>
              <w:pStyle w:val="Compact"/>
              <w:jc w:val="left"/>
            </w:pPr>
            <w:r>
              <w:rPr>
                <w:bCs/>
                <w:b/>
              </w:rPr>
              <w:t xml:space="preserve">Data Scientist – Data Governance &amp; Quality Audit:</w:t>
            </w:r>
            <w:r>
              <w:t xml:space="preserve"> </w:t>
            </w:r>
            <w:r>
              <w:t xml:space="preserve">Comprehensive audit of data pipelines, ETL processes, and data quality metrics. The Data Scientist produced a 45-page report with remediation recommendations and established automated data quality monitoring dashboards for the Netherlands Amsterdam operations team.</w:t>
            </w:r>
          </w:p>
        </w:tc>
        <w:tc>
          <w:tcPr/>
          <w:p>
            <w:pPr>
              <w:pStyle w:val="Compact"/>
              <w:jc w:val="left"/>
            </w:pPr>
            <w:r>
              <w:t xml:space="preserve">Jun 2025</w:t>
            </w:r>
          </w:p>
        </w:tc>
        <w:tc>
          <w:tcPr/>
          <w:p>
            <w:pPr>
              <w:pStyle w:val="Compact"/>
              <w:jc w:val="left"/>
            </w:pPr>
            <w:r>
              <w:t xml:space="preserve">120.00</w:t>
            </w:r>
          </w:p>
        </w:tc>
        <w:tc>
          <w:tcPr/>
          <w:p>
            <w:pPr>
              <w:pStyle w:val="Compact"/>
              <w:jc w:val="left"/>
            </w:pPr>
            <w:r>
              <w:t xml:space="preserve">40</w:t>
            </w:r>
          </w:p>
        </w:tc>
        <w:tc>
          <w:tcPr/>
          <w:p>
            <w:pPr>
              <w:pStyle w:val="Compact"/>
              <w:jc w:val="left"/>
            </w:pPr>
            <w:r>
              <w:t xml:space="preserve">4,800.00</w:t>
            </w:r>
          </w:p>
        </w:tc>
      </w:tr>
      <w:tr>
        <w:tc>
          <w:tcPr/>
          <w:p>
            <w:pPr>
              <w:pStyle w:val="Compact"/>
              <w:jc w:val="left"/>
            </w:pPr>
            <w:r>
              <w:t xml:space="preserve">5</w:t>
            </w:r>
          </w:p>
        </w:tc>
        <w:tc>
          <w:tcPr/>
          <w:p>
            <w:pPr>
              <w:pStyle w:val="Compact"/>
              <w:jc w:val="left"/>
            </w:pPr>
            <w:r>
              <w:rPr>
                <w:bCs/>
                <w:b/>
              </w:rPr>
              <w:t xml:space="preserve">Data Scientist – Team Training &amp; Knowledge Transfer:</w:t>
            </w:r>
            <w:r>
              <w:t xml:space="preserve"> </w:t>
            </w:r>
            <w:r>
              <w:t xml:space="preserve">Two-day intensive workshop for the client's internal analytics team covering advanced Python, statistical modeling, and MLOps best practices. Conducted by the lead Data Scientist at the client's premises in Netherlands Amsterdam.</w:t>
            </w:r>
          </w:p>
        </w:tc>
        <w:tc>
          <w:tcPr/>
          <w:p>
            <w:pPr>
              <w:pStyle w:val="Compact"/>
              <w:jc w:val="left"/>
            </w:pPr>
            <w:r>
              <w:t xml:space="preserve">Jun 2025</w:t>
            </w:r>
          </w:p>
        </w:tc>
        <w:tc>
          <w:tcPr/>
          <w:p>
            <w:pPr>
              <w:pStyle w:val="Compact"/>
              <w:jc w:val="left"/>
            </w:pPr>
            <w:r>
              <w:t xml:space="preserve">150.00</w:t>
            </w:r>
          </w:p>
        </w:tc>
        <w:tc>
          <w:tcPr/>
          <w:p>
            <w:pPr>
              <w:pStyle w:val="Compact"/>
              <w:jc w:val="left"/>
            </w:pPr>
            <w:r>
              <w:t xml:space="preserve">16</w:t>
            </w:r>
          </w:p>
        </w:tc>
        <w:tc>
          <w:tcPr/>
          <w:p>
            <w:pPr>
              <w:pStyle w:val="Compact"/>
              <w:jc w:val="left"/>
            </w:pPr>
            <w:r>
              <w:t xml:space="preserve">2,400.00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€ 37,600.00</w:t>
            </w:r>
          </w:p>
        </w:tc>
      </w:tr>
      <w:tr>
        <w:tc>
          <w:tcPr/>
          <w:p>
            <w:pPr>
              <w:pStyle w:val="Compact"/>
              <w:jc w:val="left"/>
            </w:pPr>
            <w:r>
              <w:t xml:space="preserve">VAT (BTW) 21%</w:t>
            </w:r>
          </w:p>
        </w:tc>
        <w:tc>
          <w:tcPr/>
          <w:p>
            <w:pPr>
              <w:pStyle w:val="Compact"/>
              <w:jc w:val="left"/>
            </w:pPr>
            <w:r>
              <w:t xml:space="preserve">€ 7,896.00</w:t>
            </w:r>
          </w:p>
        </w:tc>
      </w:tr>
      <w:tr>
        <w:tc>
          <w:tcPr/>
          <w:p>
            <w:pPr>
              <w:pStyle w:val="Compact"/>
              <w:jc w:val="left"/>
            </w:pPr>
            <w:r>
              <w:t xml:space="preserve">Grand Total (EUR)</w:t>
            </w:r>
          </w:p>
        </w:tc>
        <w:tc>
          <w:tcPr/>
          <w:p>
            <w:pPr>
              <w:pStyle w:val="Compact"/>
              <w:jc w:val="left"/>
            </w:pPr>
            <w:r>
              <w:t xml:space="preserve">€ 45,496.00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ABN AMRO Bank N.V., Amsterdam</w:t>
      </w:r>
    </w:p>
    <w:p>
      <w:pPr>
        <w:pStyle w:val="BodyText"/>
      </w:pPr>
      <w:r>
        <w:rPr>
          <w:bCs/>
          <w:b/>
        </w:rPr>
        <w:t xml:space="preserve">IBAN:</w:t>
      </w:r>
      <w:r>
        <w:t xml:space="preserve"> </w:t>
      </w:r>
      <w:r>
        <w:t xml:space="preserve">NL91 ABNA 0417 1643 00</w:t>
      </w:r>
    </w:p>
    <w:p>
      <w:pPr>
        <w:pStyle w:val="BodyText"/>
      </w:pPr>
      <w:r>
        <w:rPr>
          <w:bCs/>
          <w:b/>
        </w:rPr>
        <w:t xml:space="preserve">BIC/SWIFT:</w:t>
      </w:r>
      <w:r>
        <w:t xml:space="preserve"> </w:t>
      </w:r>
      <w:r>
        <w:t xml:space="preserve">ABNANL2A</w:t>
      </w:r>
    </w:p>
    <w:p>
      <w:pPr>
        <w:pStyle w:val="BodyText"/>
      </w:pPr>
      <w:r>
        <w:rPr>
          <w:bCs/>
          <w:b/>
        </w:rPr>
        <w:t xml:space="preserve">Reference:</w:t>
      </w:r>
      <w:r>
        <w:t xml:space="preserve"> </w:t>
      </w:r>
      <w:r>
        <w:t xml:space="preserve">INV-2025-00472 / NWR-2025-0091</w:t>
      </w:r>
    </w:p>
    <w:p>
      <w:pPr>
        <w:pStyle w:val="BodyText"/>
      </w:pPr>
      <w:r>
        <w:rPr>
          <w:bCs/>
          <w:b/>
        </w:rPr>
        <w:t xml:space="preserve">Payment Terms:</w:t>
      </w:r>
      <w:r>
        <w:t xml:space="preserve"> </w:t>
      </w:r>
      <w:r>
        <w:t xml:space="preserve">Net 15 days from the date of this Invoice. Please ensure the reference number is included with your payment to facilitate accurate reconciliation of this Invoice.</w:t>
      </w:r>
    </w:p>
    <w:p>
      <w:pPr>
        <w:pStyle w:val="BodyText"/>
      </w:pPr>
      <w:r>
        <w:rPr>
          <w:bCs/>
          <w:b/>
        </w:rPr>
        <w:t xml:space="preserve">Accepted Methods:</w:t>
      </w:r>
      <w:r>
        <w:t xml:space="preserve"> </w:t>
      </w:r>
      <w:r>
        <w:t xml:space="preserve">SEPA Bank Transfer, Wire Transfer</w:t>
      </w:r>
    </w:p>
    <w:bookmarkEnd w:id="24"/>
    <w:bookmarkStart w:id="25" w:name="important-notes-regarding-this-invoice"/>
    <w:p>
      <w:pPr>
        <w:pStyle w:val="Heading3"/>
      </w:pPr>
      <w:r>
        <w:t xml:space="preserve">Important Notes Regarding This Invoice</w:t>
      </w:r>
    </w:p>
    <w:p>
      <w:pPr>
        <w:pStyle w:val="FirstParagraph"/>
      </w:pPr>
      <w:r>
        <w:t xml:space="preserve">1. This Invoice covers all Data Scientist professional services rendered by Amsterdam Analytics Solutions B.V. to Northwind Retail Group N.V. for the period March 2025 through June 2025. All work was performed in accordance with the Master Service Agreement (MSA) dated 01 February 2025, executed in Netherlands Amsterdam.</w:t>
      </w:r>
    </w:p>
    <w:p>
      <w:pPr>
        <w:pStyle w:val="BodyText"/>
      </w:pPr>
      <w:r>
        <w:t xml:space="preserve">2. The Data Scientist engagement included on-site work at the client's Netherlands Amsterdam headquarters as well as remote collaboration. All intellectual property developed under this contract, including but not limited to machine learning models, data pipelines, and analytical frameworks, shall remain the exclusive property of the client upon full settlement of this Invoice.</w:t>
      </w:r>
    </w:p>
    <w:p>
      <w:pPr>
        <w:pStyle w:val="BodyText"/>
      </w:pPr>
      <w:r>
        <w:t xml:space="preserve">3. VAT (BTW) has been applied at the standard Dutch rate of 21% as per the Dutch Tax Administration (Belastingdienst) regulations applicable to services rendered within the Netherlands. This Invoice is issued in compliance with the Dutch Electronic Invoicing Act (Wet elektronische facturatie).</w:t>
      </w:r>
    </w:p>
    <w:p>
      <w:pPr>
        <w:pStyle w:val="BodyText"/>
      </w:pPr>
      <w:r>
        <w:t xml:space="preserve">4. Late payment on this Invoice shall incur interest at the statutory rate as defined in Article 6:119a of the Dutch Civil Code (Burgerlijk Wetboek). Additionally, a fixed compensation of €40 per Invoice applies for late payment as per Dutch law.</w:t>
      </w:r>
    </w:p>
    <w:p>
      <w:pPr>
        <w:pStyle w:val="BodyText"/>
      </w:pPr>
      <w:r>
        <w:t xml:space="preserve">5. Should you have any questions regarding this Invoice or the Data Scientist services described herein, please contact our billing department at billing@amsterdamanalytics.nl or call +31 20 123 4567, extension 201. Our team in Netherlands Amsterdam is available Monday through Friday, 09:00–17:30 CET.</w:t>
      </w:r>
    </w:p>
    <w:p>
      <w:pPr>
        <w:pStyle w:val="BodyText"/>
      </w:pPr>
      <w:r>
        <w:t xml:space="preserve">6. This Invoice is valid for 90 days from the date of issue. After this period, the Invoice may be subject to re-evaluation of applicable tax rates or exchange rate adjustments.</w:t>
      </w:r>
    </w:p>
    <w:bookmarkEnd w:id="25"/>
    <w:p>
      <w:pPr>
        <w:pStyle w:val="BodyText"/>
      </w:pPr>
      <w:r>
        <w:rPr>
          <w:bCs/>
          <w:b/>
        </w:rPr>
        <w:t xml:space="preserve">Amsterdam Analytics Solutions B.V.</w:t>
      </w:r>
      <w:r>
        <w:t xml:space="preserve"> </w:t>
      </w:r>
      <w:r>
        <w:t xml:space="preserve">– Registered in the Netherlands Chamber of Commerce (Kamer van Koophandel) under number 87654321</w:t>
      </w:r>
    </w:p>
    <w:p>
      <w:pPr>
        <w:pStyle w:val="BodyText"/>
      </w:pPr>
      <w:r>
        <w:t xml:space="preserve">Keizersgracht 420, 1016 GC Amsterdam, Netherlands Amsterdam, The Netherlands</w:t>
      </w:r>
    </w:p>
    <w:p>
      <w:pPr>
        <w:pStyle w:val="BodyText"/>
      </w:pPr>
      <w:r>
        <w:t xml:space="preserve">This Invoice was generated electronically and is valid without a physical signature in accordance with Dutch law.</w:t>
      </w:r>
    </w:p>
    <w:p>
      <w:pPr>
        <w:pStyle w:val="BodyText"/>
      </w:pPr>
      <w:r>
        <w:t xml:space="preserve">Thank you for your business. We appreciate the opportunity to provide Data Scientist expertise to your organization in Netherlands Amsterdam.</w:t>
      </w:r>
    </w:p>
    <w:p>
      <w:pPr>
        <w:pStyle w:val="BodyText"/>
      </w:pPr>
      <w:r>
        <w:t xml:space="preserve">Document ID: INV-2025-00472 | Generated: 15/06/2025 10:32:15 CET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Netherlands Amsterdam</dc:title>
  <dc:creator/>
  <dc:language>en</dc:language>
  <cp:keywords/>
  <dcterms:created xsi:type="dcterms:W3CDTF">2026-10-10T03:35:26Z</dcterms:created>
  <dcterms:modified xsi:type="dcterms:W3CDTF">2026-10-10T03:35:26Z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