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neural-analytics-group-llc"/>
    <w:p>
      <w:pPr>
        <w:pStyle w:val="Heading1"/>
      </w:pPr>
      <w:r>
        <w:t xml:space="preserve">Neural Analytics Group LLC</w:t>
      </w:r>
    </w:p>
    <w:p>
      <w:pPr>
        <w:pStyle w:val="FirstParagraph"/>
      </w:pPr>
      <w:r>
        <w:t xml:space="preserve">12, Tverskaya Street, Building 7, Floor 14</w:t>
      </w:r>
    </w:p>
    <w:p>
      <w:pPr>
        <w:pStyle w:val="BodyText"/>
      </w:pPr>
      <w:r>
        <w:t xml:space="preserve">Moscow, Russia Moscow 125009</w:t>
      </w:r>
    </w:p>
    <w:p>
      <w:pPr>
        <w:pStyle w:val="BodyText"/>
      </w:pPr>
      <w:r>
        <w:t xml:space="preserve">Tax ID (INN): 7701234567</w:t>
      </w:r>
    </w:p>
    <w:p>
      <w:pPr>
        <w:pStyle w:val="BodyText"/>
      </w:pPr>
      <w:r>
        <w:t xml:space="preserve">Phone: +7 (495) 123-4567</w:t>
      </w:r>
    </w:p>
    <w:p>
      <w:pPr>
        <w:pStyle w:val="BodyText"/>
      </w:pPr>
      <w:r>
        <w:t xml:space="preserve">Email: billing@neuralanalytics.ru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NAG-2025-00487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Quantum Retail Solutions JSC</w:t>
      </w:r>
    </w:p>
    <w:p>
      <w:pPr>
        <w:pStyle w:val="BodyText"/>
      </w:pPr>
      <w:r>
        <w:t xml:space="preserve">45, Leningradsky Prospekt, Office 210</w:t>
      </w:r>
    </w:p>
    <w:p>
      <w:pPr>
        <w:pStyle w:val="BodyText"/>
      </w:pPr>
      <w:r>
        <w:t xml:space="preserve">Moscow, Russia Moscow 125167</w:t>
      </w:r>
    </w:p>
    <w:p>
      <w:pPr>
        <w:pStyle w:val="BodyText"/>
      </w:pPr>
      <w:r>
        <w:t xml:space="preserve">Tax ID (INN): 7709876543</w:t>
      </w:r>
    </w:p>
    <w:p>
      <w:pPr>
        <w:pStyle w:val="BodyText"/>
      </w:pPr>
      <w:r>
        <w:t xml:space="preserve">Attn: Mr. Alexander Petrov, CTO</w:t>
      </w:r>
    </w:p>
    <w:p>
      <w:pPr>
        <w:pStyle w:val="BodyText"/>
      </w:pPr>
      <w:r>
        <w:t xml:space="preserve">Email: a.petrov@quantumretail.ru</w:t>
      </w:r>
    </w:p>
    <w:bookmarkEnd w:id="22"/>
    <w:bookmarkStart w:id="23" w:name="service-provider"/>
    <w:p>
      <w:pPr>
        <w:pStyle w:val="Heading3"/>
      </w:pPr>
      <w:r>
        <w:t xml:space="preserve">Service Provider</w:t>
      </w:r>
    </w:p>
    <w:p>
      <w:pPr>
        <w:pStyle w:val="FirstParagraph"/>
      </w:pPr>
      <w:r>
        <w:rPr>
          <w:bCs/>
          <w:b/>
        </w:rPr>
        <w:t xml:space="preserve">Neural Analytics Group LLC</w:t>
      </w:r>
    </w:p>
    <w:p>
      <w:pPr>
        <w:pStyle w:val="BodyText"/>
      </w:pPr>
      <w:r>
        <w:t xml:space="preserve">Lead Data Scientist: Dr. Elena Volkova</w:t>
      </w:r>
    </w:p>
    <w:p>
      <w:pPr>
        <w:pStyle w:val="BodyText"/>
      </w:pPr>
      <w:r>
        <w:t xml:space="preserve">Professional License: DS-RU-2024-0091</w:t>
      </w:r>
    </w:p>
    <w:p>
      <w:pPr>
        <w:pStyle w:val="BodyText"/>
      </w:pPr>
      <w:r>
        <w:t xml:space="preserve">Specialization: Machine Learning, NLP, Predictive Analytics</w:t>
      </w:r>
    </w:p>
    <w:p>
      <w:pPr>
        <w:pStyle w:val="BodyText"/>
      </w:pPr>
      <w:r>
        <w:t xml:space="preserve">Registered in Russia Moscow Business Registry</w:t>
      </w:r>
    </w:p>
    <w:p>
      <w:pPr>
        <w:pStyle w:val="BodyText"/>
      </w:pPr>
      <w:r>
        <w:t xml:space="preserve">Contract Ref: QRS-NAG-2025-012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 / 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deployment of a customer churn prediction model using gradient boosting algorithms for the retail analytics platform. Includes feature engineering, hyperparameter tuning, and model validation.</w:t>
            </w:r>
          </w:p>
        </w:tc>
        <w:tc>
          <w:tcPr/>
          <w:p>
            <w:pPr>
              <w:pStyle w:val="Compact"/>
              <w:jc w:val="left"/>
            </w:pPr>
            <w:r>
              <w:t xml:space="preserve">120 hours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rPr>
                <w:bCs/>
                <w:b/>
              </w:rPr>
              <w:t xml:space="preserve">Natural Language Processing Pipeline</w:t>
            </w:r>
            <w:r>
              <w:t xml:space="preserve"> </w:t>
            </w:r>
            <w:r>
              <w:t xml:space="preserve">– Development of a sentiment analysis system for customer feedback data in Russian and English. The Data Scientist configured transformer-based models and integrated them into the client's existing data infrastructure in Russia Moscow.</w:t>
            </w:r>
          </w:p>
        </w:tc>
        <w:tc>
          <w:tcPr/>
          <w:p>
            <w:pPr>
              <w:pStyle w:val="Compact"/>
              <w:jc w:val="left"/>
            </w:pPr>
            <w:r>
              <w:t xml:space="preserve">80 hours</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3</w:t>
            </w:r>
          </w:p>
        </w:tc>
        <w:tc>
          <w:tcPr/>
          <w:p>
            <w:pPr>
              <w:pStyle w:val="Compact"/>
              <w:jc w:val="left"/>
            </w:pPr>
            <w:r>
              <w:rPr>
                <w:bCs/>
                <w:b/>
              </w:rPr>
              <w:t xml:space="preserve">Predictive Demand Forecasting</w:t>
            </w:r>
            <w:r>
              <w:t xml:space="preserve"> </w:t>
            </w:r>
            <w:r>
              <w:t xml:space="preserve">– Construction of time-series forecasting models for inventory optimization across 340 retail locations. The Data Scientist applied ARIMA, Prophet, and LSTM architectures to generate 90-day demand projections.</w:t>
            </w:r>
          </w:p>
        </w:tc>
        <w:tc>
          <w:tcPr/>
          <w:p>
            <w:pPr>
              <w:pStyle w:val="Compact"/>
              <w:jc w:val="left"/>
            </w:pPr>
            <w:r>
              <w:t xml:space="preserve">96 hours</w:t>
            </w:r>
          </w:p>
        </w:tc>
        <w:tc>
          <w:tcPr/>
          <w:p>
            <w:pPr>
              <w:pStyle w:val="Compact"/>
              <w:jc w:val="left"/>
            </w:pPr>
            <w:r>
              <w:t xml:space="preserve">3,500.00</w:t>
            </w:r>
          </w:p>
        </w:tc>
        <w:tc>
          <w:tcPr/>
          <w:p>
            <w:pPr>
              <w:pStyle w:val="Compact"/>
              <w:jc w:val="left"/>
            </w:pPr>
            <w:r>
              <w:t xml:space="preserve">336,000.00</w:t>
            </w:r>
          </w:p>
        </w:tc>
      </w:tr>
      <w:tr>
        <w:tc>
          <w:tcPr/>
          <w:p>
            <w:pPr>
              <w:pStyle w:val="Compact"/>
              <w:jc w:val="left"/>
            </w:pPr>
            <w:r>
              <w:t xml:space="preserve">4</w:t>
            </w:r>
          </w:p>
        </w:tc>
        <w:tc>
          <w:tcPr/>
          <w:p>
            <w:pPr>
              <w:pStyle w:val="Compact"/>
              <w:jc w:val="left"/>
            </w:pPr>
            <w:r>
              <w:rPr>
                <w:bCs/>
                <w:b/>
              </w:rPr>
              <w:t xml:space="preserve">Data Pipeline Architecture &amp; Optimization</w:t>
            </w:r>
            <w:r>
              <w:t xml:space="preserve"> </w:t>
            </w:r>
            <w:r>
              <w:t xml:space="preserve">– Design and implementation of an end-to-end ETL pipeline for real-time data ingestion. The Data Scientist optimized data flow from 12 source systems, reducing processing latency by 67%.</w:t>
            </w:r>
          </w:p>
        </w:tc>
        <w:tc>
          <w:tcPr/>
          <w:p>
            <w:pPr>
              <w:pStyle w:val="Compact"/>
              <w:jc w:val="left"/>
            </w:pPr>
            <w:r>
              <w:t xml:space="preserve">64 hours</w:t>
            </w:r>
          </w:p>
        </w:tc>
        <w:tc>
          <w:tcPr/>
          <w:p>
            <w:pPr>
              <w:pStyle w:val="Compact"/>
              <w:jc w:val="left"/>
            </w:pPr>
            <w:r>
              <w:t xml:space="preserve">3,200.00</w:t>
            </w:r>
          </w:p>
        </w:tc>
        <w:tc>
          <w:tcPr/>
          <w:p>
            <w:pPr>
              <w:pStyle w:val="Compact"/>
              <w:jc w:val="left"/>
            </w:pPr>
            <w:r>
              <w:t xml:space="preserve">204,800.00</w:t>
            </w:r>
          </w:p>
        </w:tc>
      </w:tr>
      <w:tr>
        <w:tc>
          <w:tcPr/>
          <w:p>
            <w:pPr>
              <w:pStyle w:val="Compact"/>
              <w:jc w:val="left"/>
            </w:pPr>
            <w:r>
              <w:t xml:space="preserve">5</w:t>
            </w:r>
          </w:p>
        </w:tc>
        <w:tc>
          <w:tcPr/>
          <w:p>
            <w:pPr>
              <w:pStyle w:val="Compact"/>
              <w:jc w:val="left"/>
            </w:pPr>
            <w:r>
              <w:rPr>
                <w:bCs/>
                <w:b/>
              </w:rPr>
              <w:t xml:space="preserve">Technical Documentation &amp; Knowledge Transfer</w:t>
            </w:r>
            <w:r>
              <w:t xml:space="preserve"> </w:t>
            </w:r>
            <w:r>
              <w:t xml:space="preserve">– Preparation of comprehensive technical documentation for all Data Scientist deliverables, including model cards, API specifications, and operational runbooks. Conducted three training sessions for the client's internal analytics team in Moscow.</w:t>
            </w:r>
          </w:p>
        </w:tc>
        <w:tc>
          <w:tcPr/>
          <w:p>
            <w:pPr>
              <w:pStyle w:val="Compact"/>
              <w:jc w:val="left"/>
            </w:pPr>
            <w:r>
              <w:t xml:space="preserve">32 hours</w:t>
            </w:r>
          </w:p>
        </w:tc>
        <w:tc>
          <w:tcPr/>
          <w:p>
            <w:pPr>
              <w:pStyle w:val="Compact"/>
              <w:jc w:val="left"/>
            </w:pPr>
            <w:r>
              <w:t xml:space="preserve">2,800.00</w:t>
            </w:r>
          </w:p>
        </w:tc>
        <w:tc>
          <w:tcPr/>
          <w:p>
            <w:pPr>
              <w:pStyle w:val="Compact"/>
              <w:jc w:val="left"/>
            </w:pPr>
            <w:r>
              <w:t xml:space="preserve">89,600.00</w:t>
            </w:r>
          </w:p>
        </w:tc>
      </w:tr>
      <w:tr>
        <w:tc>
          <w:tcPr/>
          <w:p>
            <w:pPr>
              <w:pStyle w:val="Compact"/>
              <w:jc w:val="left"/>
            </w:pPr>
            <w:r>
              <w:t xml:space="preserve">6</w:t>
            </w:r>
          </w:p>
        </w:tc>
        <w:tc>
          <w:tcPr/>
          <w:p>
            <w:pPr>
              <w:pStyle w:val="Compact"/>
              <w:jc w:val="left"/>
            </w:pPr>
            <w:r>
              <w:rPr>
                <w:bCs/>
                <w:b/>
              </w:rPr>
              <w:t xml:space="preserve">Model Monitoring &amp; Maintenance (Monthly)</w:t>
            </w:r>
            <w:r>
              <w:t xml:space="preserve"> </w:t>
            </w:r>
            <w:r>
              <w:t xml:space="preserve">– Ongoing monitoring of deployed Data Scientist models, drift detection, retraining schedules, and performance reporting. Includes bi-weekly status meetings with the client's engineering team.</w:t>
            </w:r>
          </w:p>
        </w:tc>
        <w:tc>
          <w:tcPr/>
          <w:p>
            <w:pPr>
              <w:pStyle w:val="Compact"/>
              <w:jc w:val="left"/>
            </w:pPr>
            <w:r>
              <w:t xml:space="preserve">1 month</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1,480,400.00 RUB</w:t>
            </w:r>
          </w:p>
        </w:tc>
      </w:tr>
      <w:tr>
        <w:tc>
          <w:tcPr/>
          <w:p>
            <w:pPr>
              <w:pStyle w:val="Compact"/>
              <w:jc w:val="left"/>
            </w:pPr>
            <w:r>
              <w:t xml:space="preserve">VAT (20% – Russia Moscow Tax Code)</w:t>
            </w:r>
          </w:p>
        </w:tc>
        <w:tc>
          <w:tcPr/>
          <w:p>
            <w:pPr>
              <w:pStyle w:val="Compact"/>
              <w:jc w:val="right"/>
            </w:pPr>
            <w:r>
              <w:t xml:space="preserve">296,080.00 RUB</w:t>
            </w:r>
          </w:p>
        </w:tc>
      </w:tr>
      <w:tr>
        <w:tc>
          <w:tcPr/>
          <w:p>
            <w:pPr>
              <w:pStyle w:val="Compact"/>
              <w:jc w:val="left"/>
            </w:pPr>
            <w:r>
              <w:t xml:space="preserve">Discount (Early Payment – 2%)</w:t>
            </w:r>
          </w:p>
        </w:tc>
        <w:tc>
          <w:tcPr/>
          <w:p>
            <w:pPr>
              <w:pStyle w:val="Compact"/>
              <w:jc w:val="right"/>
            </w:pPr>
            <w:r>
              <w:t xml:space="preserve">-29,608.00 RUB</w:t>
            </w:r>
          </w:p>
        </w:tc>
      </w:tr>
      <w:tr>
        <w:tc>
          <w:tcPr/>
          <w:p>
            <w:pPr>
              <w:pStyle w:val="Compact"/>
              <w:jc w:val="left"/>
            </w:pPr>
            <w:r>
              <w:t xml:space="preserve">TOTAL AMOUNT DUE</w:t>
            </w:r>
          </w:p>
        </w:tc>
        <w:tc>
          <w:tcPr/>
          <w:p>
            <w:pPr>
              <w:pStyle w:val="Compact"/>
              <w:jc w:val="right"/>
            </w:pPr>
            <w:r>
              <w:t xml:space="preserve">1,746,872.00 RUB</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issue date, no later than 30 June 2025. Payment is to be made in Russian Rubles (RUB) via bank transfer to the following account:</w:t>
      </w:r>
    </w:p>
    <w:p>
      <w:pPr>
        <w:pStyle w:val="BodyText"/>
      </w:pPr>
      <w:r>
        <w:rPr>
          <w:bCs/>
          <w:b/>
        </w:rPr>
        <w:t xml:space="preserve">Bank:</w:t>
      </w:r>
      <w:r>
        <w:t xml:space="preserve"> </w:t>
      </w:r>
      <w:r>
        <w:t xml:space="preserve">Sberbank, Moscow Branch</w:t>
      </w:r>
    </w:p>
    <w:p>
      <w:pPr>
        <w:pStyle w:val="BodyText"/>
      </w:pPr>
      <w:r>
        <w:rPr>
          <w:bCs/>
          <w:b/>
        </w:rPr>
        <w:t xml:space="preserve">Account No.:</w:t>
      </w:r>
      <w:r>
        <w:t xml:space="preserve"> </w:t>
      </w:r>
      <w:r>
        <w:t xml:space="preserve">40702810400000012345</w:t>
      </w:r>
    </w:p>
    <w:p>
      <w:pPr>
        <w:pStyle w:val="BodyText"/>
      </w:pPr>
      <w:r>
        <w:rPr>
          <w:bCs/>
          <w:b/>
        </w:rPr>
        <w:t xml:space="preserve">SWIFT/BIC:</w:t>
      </w:r>
      <w:r>
        <w:t xml:space="preserve"> </w:t>
      </w:r>
      <w:r>
        <w:t xml:space="preserve">SABRRUMM</w:t>
      </w:r>
    </w:p>
    <w:p>
      <w:pPr>
        <w:pStyle w:val="BodyText"/>
      </w:pPr>
      <w:r>
        <w:rPr>
          <w:bCs/>
          <w:b/>
        </w:rPr>
        <w:t xml:space="preserve">Beneficiary:</w:t>
      </w:r>
      <w:r>
        <w:t xml:space="preserve"> </w:t>
      </w:r>
      <w:r>
        <w:t xml:space="preserve">Neural Analytics Group LLC</w:t>
      </w:r>
    </w:p>
    <w:p>
      <w:pPr>
        <w:pStyle w:val="BodyText"/>
      </w:pPr>
      <w:r>
        <w:rPr>
          <w:bCs/>
          <w:b/>
        </w:rPr>
        <w:t xml:space="preserve">Reference:</w:t>
      </w:r>
      <w:r>
        <w:t xml:space="preserve"> </w:t>
      </w:r>
      <w:r>
        <w:t xml:space="preserve">Invoice NAG-2025-00487</w:t>
      </w:r>
    </w:p>
    <w:p>
      <w:pPr>
        <w:pStyle w:val="BodyText"/>
      </w:pPr>
      <w:r>
        <w:t xml:space="preserve">Late payments are subject to a penalty of 0.1% per calendar day as stipulated in the master service agreement. All payments are subject to the tax regulations applicable in Russia Moscow.</w:t>
      </w:r>
    </w:p>
    <w:bookmarkEnd w:id="24"/>
    <w:bookmarkStart w:id="25" w:name="notes-additional-information"/>
    <w:p>
      <w:pPr>
        <w:pStyle w:val="Heading3"/>
      </w:pPr>
      <w:r>
        <w:t xml:space="preserve">Notes &amp; Additional Information</w:t>
      </w:r>
    </w:p>
    <w:p>
      <w:pPr>
        <w:pStyle w:val="FirstParagraph"/>
      </w:pPr>
      <w:r>
        <w:t xml:space="preserve">This Invoice covers professional Data Scientist services rendered by Neural Analytics Group LLC to Quantum Retail Solutions JSC during the service period of May 2025. All deliverables have been accepted in writing by the client's technical lead on 28 May 2025.</w:t>
      </w:r>
    </w:p>
    <w:p>
      <w:pPr>
        <w:pStyle w:val="BodyText"/>
      </w:pPr>
      <w:r>
        <w:t xml:space="preserve">The Data Scientist engagement was conducted in full compliance with the Federal Law on Personal Data (No. 152-FZ) and all applicable data protection regulations in Russia Moscow. All training data used for model development was anonymized and processed within the client's on-premises infrastructure.</w:t>
      </w:r>
    </w:p>
    <w:p>
      <w:pPr>
        <w:pStyle w:val="BodyText"/>
      </w:pPr>
      <w:r>
        <w:t xml:space="preserve">Intellectual property rights for all custom models, pipelines, and documentation developed under this Invoice remain with the client upon full payment. The Data Scientist retains the right to reference the project in professional portfolios with prior written consent.</w:t>
      </w:r>
    </w:p>
    <w:p>
      <w:pPr>
        <w:pStyle w:val="BodyText"/>
      </w:pPr>
      <w:r>
        <w:t xml:space="preserve">For any disputes regarding this Invoice, both parties agree to resolve matters through arbitration in Moscow, Russia Moscow, in accordance with the rules of the Moscow Arbitration Court.</w:t>
      </w:r>
    </w:p>
    <w:bookmarkEnd w:id="25"/>
    <w:p>
      <w:pPr>
        <w:pStyle w:val="BodyText"/>
      </w:pPr>
      <w:r>
        <w:rPr>
          <w:bCs/>
          <w:b/>
        </w:rPr>
        <w:t xml:space="preserve">Prepared by:</w:t>
      </w:r>
      <w:r>
        <w:t xml:space="preserve"> </w:t>
      </w:r>
      <w:r>
        <w:t xml:space="preserve">Dr. Elena Volkova</w:t>
      </w:r>
      <w:r>
        <w:br/>
      </w:r>
      <w:r>
        <w:t xml:space="preserve">Lead Data Scientist, Neural Analytics Group LLC</w:t>
      </w:r>
      <w:r>
        <w:br/>
      </w:r>
      <w:r>
        <w:t xml:space="preserve">Date: 15 June 2025</w:t>
      </w:r>
    </w:p>
    <w:p>
      <w:pPr>
        <w:pStyle w:val="BodyText"/>
      </w:pPr>
      <w:r>
        <w:rPr>
          <w:bCs/>
          <w:b/>
        </w:rPr>
        <w:t xml:space="preserve">Accepted by:</w:t>
      </w:r>
      <w:r>
        <w:t xml:space="preserve"> </w:t>
      </w:r>
      <w:r>
        <w:t xml:space="preserve">Mr. Alexander Petrov</w:t>
      </w:r>
      <w:r>
        <w:br/>
      </w:r>
      <w:r>
        <w:t xml:space="preserve">CTO, Quantum Retail Solutions JSC</w:t>
      </w:r>
      <w:r>
        <w:br/>
      </w:r>
      <w:r>
        <w:t xml:space="preserve">Date: _______________</w:t>
      </w:r>
    </w:p>
    <w:p>
      <w:pPr>
        <w:pStyle w:val="BodyText"/>
      </w:pPr>
      <w:r>
        <w:rPr>
          <w:bCs/>
          <w:b/>
        </w:rPr>
        <w:t xml:space="preserve">Neural Analytics Group LLC</w:t>
      </w:r>
      <w:r>
        <w:t xml:space="preserve"> </w:t>
      </w:r>
      <w:r>
        <w:t xml:space="preserve">| 12 Tverskaya St, Moscow, Russia Moscow 125009 | INN: 7701234567 | OGRN: 1247700123456</w:t>
      </w:r>
    </w:p>
    <w:p>
      <w:pPr>
        <w:pStyle w:val="BodyText"/>
      </w:pPr>
      <w:r>
        <w:t xml:space="preserve">This Invoice was generated electronically and is valid without a physical signature in accordance with Russian Federal Law No. 63-FZ on Electronic Signatures.</w:t>
      </w:r>
    </w:p>
    <w:p>
      <w:pPr>
        <w:pStyle w:val="BodyText"/>
      </w:pPr>
      <w:r>
        <w:t xml:space="preserve">Document Reference: NAG-2025-00487 | Page 1 of 1 | Generated: 15 June 2025, 10:42 MSK</w:t>
      </w:r>
    </w:p>
    <w:p>
      <w:pPr>
        <w:pStyle w:val="BodyText"/>
      </w:pPr>
      <w:r>
        <w:t xml:space="preserve">Thank you for your business. We appreciate the opportunity to provide Data Scientist expertise to your organization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Russia Moscow</dc:title>
  <dc:creator/>
  <dc:language>en</dc:language>
  <cp:keywords/>
  <dcterms:created xsi:type="dcterms:W3CDTF">2026-10-10T04:00:51Z</dcterms:created>
  <dcterms:modified xsi:type="dcterms:W3CDTF">2026-10-10T04:00:51Z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