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nexus-analytics-fz-llc"/>
    <w:p>
      <w:pPr>
        <w:pStyle w:val="Heading1"/>
      </w:pPr>
      <w:r>
        <w:t xml:space="preserve">Nexus Analytics FZ-LLC</w:t>
      </w:r>
    </w:p>
    <w:p>
      <w:pPr>
        <w:pStyle w:val="FirstParagraph"/>
      </w:pPr>
      <w:r>
        <w:t xml:space="preserve">Office 412, Level 4, Al Reem Island Tower</w:t>
      </w:r>
    </w:p>
    <w:p>
      <w:pPr>
        <w:pStyle w:val="BodyText"/>
      </w:pPr>
      <w:r>
        <w:t xml:space="preserve">United Arab Emirates Abu Dhabi</w:t>
      </w:r>
    </w:p>
    <w:p>
      <w:pPr>
        <w:pStyle w:val="BodyText"/>
      </w:pPr>
      <w:r>
        <w:t xml:space="preserve">Tax Registration No: 100234567800003</w:t>
      </w:r>
    </w:p>
    <w:p>
      <w:pPr>
        <w:pStyle w:val="BodyText"/>
      </w:pPr>
      <w:r>
        <w:t xml:space="preserve">TRN: 100234567800003</w:t>
      </w:r>
    </w:p>
    <w:p>
      <w:pPr>
        <w:pStyle w:val="BodyText"/>
      </w:pPr>
      <w:r>
        <w:t xml:space="preserve">Email: billing@nexusanalytics.ae | Tel: +971 2 555 0142</w:t>
      </w:r>
    </w:p>
    <w:bookmarkEnd w:id="20"/>
    <w:bookmarkStart w:id="21" w:name="invoice"/>
    <w:p>
      <w:pPr>
        <w:pStyle w:val="Heading2"/>
      </w:pPr>
      <w:r>
        <w:t xml:space="preserve">INVOICE</w:t>
      </w:r>
    </w:p>
    <w:p>
      <w:pPr>
        <w:pStyle w:val="FirstParagraph"/>
      </w:pPr>
      <w:r>
        <w:t xml:space="preserve">Invoice No: NAX-2025-0047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Client:</w:t>
      </w:r>
      <w:r>
        <w:t xml:space="preserve"> </w:t>
      </w:r>
      <w:r>
        <w:t xml:space="preserve">Emirates Digital Transformation Authority</w:t>
      </w:r>
    </w:p>
    <w:p>
      <w:pPr>
        <w:pStyle w:val="BodyText"/>
      </w:pPr>
      <w:r>
        <w:t xml:space="preserve">Attn:</w:t>
      </w:r>
      <w:r>
        <w:t xml:space="preserve"> </w:t>
      </w:r>
      <w:r>
        <w:t xml:space="preserve">Dr. Khalid Al Mansoori, Chief Data Officer</w:t>
      </w:r>
    </w:p>
    <w:p>
      <w:pPr>
        <w:pStyle w:val="BodyText"/>
      </w:pPr>
      <w:r>
        <w:t xml:space="preserve">Address:</w:t>
      </w:r>
      <w:r>
        <w:t xml:space="preserve"> </w:t>
      </w:r>
      <w:r>
        <w:t xml:space="preserve">Corniche Road, Al Markaziyah, United Arab Emirates Abu Dhabi</w:t>
      </w:r>
    </w:p>
    <w:p>
      <w:pPr>
        <w:pStyle w:val="BodyText"/>
      </w:pPr>
      <w:r>
        <w:t xml:space="preserve">Tax ID:</w:t>
      </w:r>
      <w:r>
        <w:t xml:space="preserve"> </w:t>
      </w:r>
      <w:r>
        <w:t xml:space="preserve">100987654300003</w:t>
      </w:r>
    </w:p>
    <w:p>
      <w:pPr>
        <w:pStyle w:val="BodyText"/>
      </w:pPr>
      <w:r>
        <w:t xml:space="preserve">Contact:</w:t>
      </w:r>
      <w:r>
        <w:t xml:space="preserve"> </w:t>
      </w:r>
      <w:r>
        <w:t xml:space="preserve">k.mansoori@edta.gov.ae</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01 May 2025 – 31 May 2025</w:t>
      </w:r>
    </w:p>
    <w:p>
      <w:pPr>
        <w:pStyle w:val="BodyText"/>
      </w:pPr>
      <w:r>
        <w:t xml:space="preserve">Project Ref:</w:t>
      </w:r>
      <w:r>
        <w:t xml:space="preserve"> </w:t>
      </w:r>
      <w:r>
        <w:t xml:space="preserve">EDTA-DS-2025-Q2</w:t>
      </w:r>
    </w:p>
    <w:p>
      <w:pPr>
        <w:pStyle w:val="BodyText"/>
      </w:pPr>
      <w:r>
        <w:t xml:space="preserve">Currency:</w:t>
      </w:r>
      <w:r>
        <w:t xml:space="preserve"> </w:t>
      </w:r>
      <w:r>
        <w:t xml:space="preserve">AED (United Arab Emirates Dirham)</w:t>
      </w:r>
    </w:p>
    <w:p>
      <w:pPr>
        <w:pStyle w:val="BodyText"/>
      </w:pPr>
      <w:r>
        <w:t xml:space="preserve">Payment Method:</w:t>
      </w:r>
      <w:r>
        <w:t xml:space="preserve"> </w:t>
      </w:r>
      <w:r>
        <w:t xml:space="preserve">Bank Transfer</w:t>
      </w:r>
    </w:p>
    <w:p>
      <w:pPr>
        <w:pStyle w:val="BodyText"/>
      </w:pPr>
      <w:r>
        <w:t xml:space="preserve">Bank:</w:t>
      </w:r>
      <w:r>
        <w:t xml:space="preserve"> </w:t>
      </w:r>
      <w:r>
        <w:t xml:space="preserve">First Abu Dhabi Bank (FAB)</w:t>
      </w:r>
    </w:p>
    <w:p>
      <w:pPr>
        <w:pStyle w:val="BodyText"/>
      </w:pPr>
      <w:r>
        <w:t xml:space="preserve">Account No:</w:t>
      </w:r>
      <w:r>
        <w:t xml:space="preserve"> </w:t>
      </w:r>
      <w:r>
        <w:t xml:space="preserve">002-1234-5678-901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(AED)</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(AED)</w:t>
            </w:r>
          </w:p>
        </w:tc>
      </w:tr>
      <w:tr>
        <w:tc>
          <w:tcPr/>
          <w:p>
            <w:pPr>
              <w:pStyle w:val="Compact"/>
              <w:jc w:val="left"/>
            </w:pPr>
            <w:r>
              <w:t xml:space="preserve">1</w:t>
            </w:r>
          </w:p>
        </w:tc>
        <w:tc>
          <w:tcPr/>
          <w:p>
            <w:pPr>
              <w:pStyle w:val="Compact"/>
              <w:jc w:val="left"/>
            </w:pPr>
            <w:r>
              <w:rPr>
                <w:bCs/>
                <w:b/>
              </w:rPr>
              <w:t xml:space="preserve">Data Scientist – Predictive Analytics Development</w:t>
            </w:r>
          </w:p>
          <w:p>
            <w:pPr>
              <w:jc w:val="left"/>
            </w:pPr>
            <w:r>
              <w:t xml:space="preserve">Design and implementation of machine learning models for customer churn prediction. Includes data preprocessing, feature engineering, model training, and validation using Python, scikit-learn, and XGBoost frameworks. Delivered as part of the quarterly analytics engagement in United Arab Emirates Abu Dhabi.</w:t>
            </w:r>
          </w:p>
        </w:tc>
        <w:tc>
          <w:tcPr/>
          <w:p>
            <w:pPr>
              <w:pStyle w:val="Compact"/>
              <w:jc w:val="left"/>
            </w:pPr>
            <w:r>
              <w:t xml:space="preserve">1,200.00</w:t>
            </w:r>
          </w:p>
        </w:tc>
        <w:tc>
          <w:tcPr/>
          <w:p>
            <w:pPr>
              <w:pStyle w:val="Compact"/>
              <w:jc w:val="left"/>
            </w:pPr>
            <w:r>
              <w:t xml:space="preserve">40</w:t>
            </w:r>
          </w:p>
        </w:tc>
        <w:tc>
          <w:tcPr/>
          <w:p>
            <w:pPr>
              <w:pStyle w:val="Compact"/>
              <w:jc w:val="left"/>
            </w:pPr>
            <w:r>
              <w:t xml:space="preserve">1</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Data Scientist – Natural Language Processing Pipeline</w:t>
            </w:r>
          </w:p>
          <w:p>
            <w:pPr>
              <w:jc w:val="left"/>
            </w:pPr>
            <w:r>
              <w:t xml:space="preserve">Development of an NLP pipeline for Arabic and English multilingual document classification. Involves tokenization, sentiment analysis, and topic modeling using Hugging Face transformers. Deployed on the client's on-premise GPU cluster located in United Arab Emirates Abu Dhabi.</w:t>
            </w:r>
          </w:p>
        </w:tc>
        <w:tc>
          <w:tcPr/>
          <w:p>
            <w:pPr>
              <w:pStyle w:val="Compact"/>
              <w:jc w:val="left"/>
            </w:pPr>
            <w:r>
              <w:t xml:space="preserve">1,200.00</w:t>
            </w:r>
          </w:p>
        </w:tc>
        <w:tc>
          <w:tcPr/>
          <w:p>
            <w:pPr>
              <w:pStyle w:val="Compact"/>
              <w:jc w:val="left"/>
            </w:pPr>
            <w:r>
              <w:t xml:space="preserve">32</w:t>
            </w:r>
          </w:p>
        </w:tc>
        <w:tc>
          <w:tcPr/>
          <w:p>
            <w:pPr>
              <w:pStyle w:val="Compact"/>
              <w:jc w:val="left"/>
            </w:pPr>
            <w:r>
              <w:t xml:space="preserve">1</w:t>
            </w:r>
          </w:p>
        </w:tc>
        <w:tc>
          <w:tcPr/>
          <w:p>
            <w:pPr>
              <w:pStyle w:val="Compact"/>
              <w:jc w:val="left"/>
            </w:pPr>
            <w:r>
              <w:t xml:space="preserve">38,400.00</w:t>
            </w:r>
          </w:p>
        </w:tc>
      </w:tr>
      <w:tr>
        <w:tc>
          <w:tcPr/>
          <w:p>
            <w:pPr>
              <w:pStyle w:val="Compact"/>
              <w:jc w:val="left"/>
            </w:pPr>
            <w:r>
              <w:t xml:space="preserve">3</w:t>
            </w:r>
          </w:p>
        </w:tc>
        <w:tc>
          <w:tcPr/>
          <w:p>
            <w:pPr>
              <w:pStyle w:val="Compact"/>
              <w:jc w:val="left"/>
            </w:pPr>
            <w:r>
              <w:rPr>
                <w:bCs/>
                <w:b/>
              </w:rPr>
              <w:t xml:space="preserve">Data Scientist – Dashboard &amp; Visualization Consulting</w:t>
            </w:r>
          </w:p>
          <w:p>
            <w:pPr>
              <w:jc w:val="left"/>
            </w:pPr>
            <w:r>
              <w:t xml:space="preserve">Creation of interactive Power BI dashboards for executive reporting. Includes data modeling, DAX query optimization, and stakeholder presentation sessions conducted at the client's headquarters in United Arab Emirates Abu Dhabi. Covers KPI tracking for digital transformation initiatives.</w:t>
            </w:r>
          </w:p>
        </w:tc>
        <w:tc>
          <w:tcPr/>
          <w:p>
            <w:pPr>
              <w:pStyle w:val="Compact"/>
              <w:jc w:val="left"/>
            </w:pPr>
            <w:r>
              <w:t xml:space="preserve">1,050.00</w:t>
            </w:r>
          </w:p>
        </w:tc>
        <w:tc>
          <w:tcPr/>
          <w:p>
            <w:pPr>
              <w:pStyle w:val="Compact"/>
              <w:jc w:val="left"/>
            </w:pPr>
            <w:r>
              <w:t xml:space="preserve">24</w:t>
            </w:r>
          </w:p>
        </w:tc>
        <w:tc>
          <w:tcPr/>
          <w:p>
            <w:pPr>
              <w:pStyle w:val="Compact"/>
              <w:jc w:val="left"/>
            </w:pPr>
            <w:r>
              <w:t xml:space="preserve">1</w:t>
            </w:r>
          </w:p>
        </w:tc>
        <w:tc>
          <w:tcPr/>
          <w:p>
            <w:pPr>
              <w:pStyle w:val="Compact"/>
              <w:jc w:val="left"/>
            </w:pPr>
            <w:r>
              <w:t xml:space="preserve">25,200.00</w:t>
            </w:r>
          </w:p>
        </w:tc>
      </w:tr>
      <w:tr>
        <w:tc>
          <w:tcPr/>
          <w:p>
            <w:pPr>
              <w:pStyle w:val="Compact"/>
              <w:jc w:val="left"/>
            </w:pPr>
            <w:r>
              <w:t xml:space="preserve">4</w:t>
            </w:r>
          </w:p>
        </w:tc>
        <w:tc>
          <w:tcPr/>
          <w:p>
            <w:pPr>
              <w:pStyle w:val="Compact"/>
              <w:jc w:val="left"/>
            </w:pPr>
            <w:r>
              <w:rPr>
                <w:bCs/>
                <w:b/>
              </w:rPr>
              <w:t xml:space="preserve">Data Scientist – Data Quality Audit &amp; Governance Framework</w:t>
            </w:r>
          </w:p>
          <w:p>
            <w:pPr>
              <w:jc w:val="left"/>
            </w:pPr>
            <w:r>
              <w:t xml:space="preserve">Comprehensive audit of existing data pipelines and establishment of a data governance framework. Includes documentation of data lineage, quality rule implementation, and training of internal data engineering staff. Performed in compliance with UAE data protection regulations applicable in United Arab Emirates Abu Dhabi.</w:t>
            </w:r>
          </w:p>
        </w:tc>
        <w:tc>
          <w:tcPr/>
          <w:p>
            <w:pPr>
              <w:pStyle w:val="Compact"/>
              <w:jc w:val="left"/>
            </w:pPr>
            <w:r>
              <w:t xml:space="preserve">1,350.00</w:t>
            </w:r>
          </w:p>
        </w:tc>
        <w:tc>
          <w:tcPr/>
          <w:p>
            <w:pPr>
              <w:pStyle w:val="Compact"/>
              <w:jc w:val="left"/>
            </w:pPr>
            <w:r>
              <w:t xml:space="preserve">20</w:t>
            </w:r>
          </w:p>
        </w:tc>
        <w:tc>
          <w:tcPr/>
          <w:p>
            <w:pPr>
              <w:pStyle w:val="Compact"/>
              <w:jc w:val="left"/>
            </w:pPr>
            <w:r>
              <w:t xml:space="preserve">1</w:t>
            </w:r>
          </w:p>
        </w:tc>
        <w:tc>
          <w:tcPr/>
          <w:p>
            <w:pPr>
              <w:pStyle w:val="Compact"/>
              <w:jc w:val="left"/>
            </w:pPr>
            <w:r>
              <w:t xml:space="preserve">27,000.00</w:t>
            </w:r>
          </w:p>
        </w:tc>
      </w:tr>
      <w:tr>
        <w:tc>
          <w:tcPr/>
          <w:p>
            <w:pPr>
              <w:pStyle w:val="Compact"/>
              <w:jc w:val="left"/>
            </w:pPr>
            <w:r>
              <w:t xml:space="preserve">5</w:t>
            </w:r>
          </w:p>
        </w:tc>
        <w:tc>
          <w:tcPr/>
          <w:p>
            <w:pPr>
              <w:pStyle w:val="Compact"/>
              <w:jc w:val="left"/>
            </w:pPr>
            <w:r>
              <w:rPr>
                <w:bCs/>
                <w:b/>
              </w:rPr>
              <w:t xml:space="preserve">Data Scientist – On-Site Workshop &amp; Knowledge Transfer</w:t>
            </w:r>
          </w:p>
          <w:p>
            <w:pPr>
              <w:jc w:val="left"/>
            </w:pPr>
            <w:r>
              <w:t xml:space="preserve">Two-day in-person workshop for the client's analytics team covering advanced statistical methods, model deployment best practices, and MLOps strategies. Conducted at the Emirates Digital Transformation Authority office in United Arab Emirates Abu Dhabi. Includes printed materials and post-workshop support for 30 days.</w:t>
            </w:r>
          </w:p>
        </w:tc>
        <w:tc>
          <w:tcPr/>
          <w:p>
            <w:pPr>
              <w:pStyle w:val="Compact"/>
              <w:jc w:val="left"/>
            </w:pPr>
            <w:r>
              <w:t xml:space="preserve">8,500.00</w:t>
            </w:r>
          </w:p>
        </w:tc>
        <w:tc>
          <w:tcPr/>
          <w:p>
            <w:pPr>
              <w:pStyle w:val="Compact"/>
              <w:jc w:val="left"/>
            </w:pPr>
            <w:r>
              <w:t xml:space="preserve">16</w:t>
            </w:r>
          </w:p>
        </w:tc>
        <w:tc>
          <w:tcPr/>
          <w:p>
            <w:pPr>
              <w:pStyle w:val="Compact"/>
              <w:jc w:val="left"/>
            </w:pPr>
            <w:r>
              <w:t xml:space="preserve">1</w:t>
            </w:r>
          </w:p>
        </w:tc>
        <w:tc>
          <w:tcPr/>
          <w:p>
            <w:pPr>
              <w:pStyle w:val="Compact"/>
              <w:jc w:val="left"/>
            </w:pPr>
            <w:r>
              <w:t xml:space="preserve">13,600.00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152,200.00 AED</w:t>
            </w:r>
          </w:p>
        </w:tc>
      </w:tr>
      <w:tr>
        <w:tc>
          <w:tcPr/>
          <w:p>
            <w:pPr>
              <w:pStyle w:val="Compact"/>
              <w:jc w:val="left"/>
            </w:pPr>
            <w:r>
              <w:t xml:space="preserve">VAT @ 5% (UAE)</w:t>
            </w:r>
          </w:p>
        </w:tc>
        <w:tc>
          <w:tcPr/>
          <w:p>
            <w:pPr>
              <w:pStyle w:val="Compact"/>
              <w:jc w:val="left"/>
            </w:pPr>
            <w:r>
              <w:t xml:space="preserve">7,610.00 AED</w:t>
            </w:r>
          </w:p>
        </w:tc>
      </w:tr>
      <w:tr>
        <w:tc>
          <w:tcPr/>
          <w:p>
            <w:pPr>
              <w:pStyle w:val="Compact"/>
              <w:jc w:val="left"/>
            </w:pPr>
            <w:r>
              <w:t xml:space="preserve">Discount (Early Payment – 2%)</w:t>
            </w:r>
          </w:p>
        </w:tc>
        <w:tc>
          <w:tcPr/>
          <w:p>
            <w:pPr>
              <w:pStyle w:val="Compact"/>
              <w:jc w:val="left"/>
            </w:pPr>
            <w:r>
              <w:t xml:space="preserve">-3,044.00 AED</w:t>
            </w:r>
          </w:p>
        </w:tc>
      </w:tr>
      <w:tr>
        <w:tc>
          <w:tcPr/>
          <w:p>
            <w:pPr>
              <w:pStyle w:val="Compact"/>
              <w:jc w:val="left"/>
            </w:pPr>
            <w:r>
              <w:t xml:space="preserve">Grand Total Due</w:t>
            </w:r>
          </w:p>
        </w:tc>
        <w:tc>
          <w:tcPr/>
          <w:p>
            <w:pPr>
              <w:pStyle w:val="Compact"/>
              <w:jc w:val="left"/>
            </w:pPr>
            <w:r>
              <w:t xml:space="preserve">156,766.00 AED</w:t>
            </w:r>
          </w:p>
        </w:tc>
      </w:tr>
    </w:tbl>
    <w:bookmarkStart w:id="24" w:name="invoice-notes-terms"/>
    <w:p>
      <w:pPr>
        <w:pStyle w:val="Heading3"/>
      </w:pPr>
      <w:r>
        <w:t xml:space="preserve">Invoice Notes &amp; Terms</w:t>
      </w:r>
    </w:p>
    <w:p>
      <w:pPr>
        <w:pStyle w:val="FirstParagraph"/>
      </w:pPr>
      <w:r>
        <w:t xml:space="preserve">This Invoice is issued by Nexus Analytics FZ-LLC, a registered entity operating in United Arab Emirates Abu Dhabi, in accordance with the Federal Tax Authority (FTA) regulations of the United Arab Emirates. The Data Scientist services rendered under this Invoice are subject to the Master Service Agreement (MSA) dated 01 January 2025 between the parties.</w:t>
      </w:r>
    </w:p>
    <w:p>
      <w:pPr>
        <w:pStyle w:val="BodyText"/>
      </w:pPr>
      <w:r>
        <w:t xml:space="preserve">All Data Scientist deliverables, including source code, model artifacts, documentation, and dashboard configurations, shall become the intellectual property of the client upon full and final payment of this Invoice. The Data Scientist engagement is governed by the confidentiality clauses outlined in Section 12 of the MSA.</w:t>
      </w:r>
    </w:p>
    <w:p>
      <w:pPr>
        <w:pStyle w:val="BodyText"/>
      </w:pPr>
      <w:r>
        <w:t xml:space="preserve">Please reference Invoice No. NAX-2025-0047 in all correspondence and payment remittances. This Invoice is valid for 30 days from the date of issue. Late payments shall incur a penalty of 1.5% per month as per UAE commercial law.</w:t>
      </w:r>
    </w:p>
    <w:bookmarkEnd w:id="24"/>
    <w:bookmarkStart w:id="25" w:name="payment-instructions"/>
    <w:p>
      <w:pPr>
        <w:pStyle w:val="Heading3"/>
      </w:pPr>
      <w:r>
        <w:t xml:space="preserve">Payment Instructions</w:t>
      </w:r>
    </w:p>
    <w:p>
      <w:pPr>
        <w:numPr>
          <w:ilvl w:val="0"/>
          <w:numId w:val="1001"/>
        </w:numPr>
        <w:pStyle w:val="Compact"/>
      </w:pPr>
      <w:r>
        <w:rPr>
          <w:bCs/>
          <w:b/>
        </w:rPr>
        <w:t xml:space="preserve">Bank:</w:t>
      </w:r>
      <w:r>
        <w:t xml:space="preserve"> </w:t>
      </w:r>
      <w:r>
        <w:t xml:space="preserve">First Abu Dhabi Bank (FAB), United Arab Emirates Abu Dhabi</w:t>
      </w:r>
    </w:p>
    <w:p>
      <w:pPr>
        <w:numPr>
          <w:ilvl w:val="0"/>
          <w:numId w:val="1001"/>
        </w:numPr>
        <w:pStyle w:val="Compact"/>
      </w:pPr>
      <w:r>
        <w:rPr>
          <w:bCs/>
          <w:b/>
        </w:rPr>
        <w:t xml:space="preserve">Account Name:</w:t>
      </w:r>
      <w:r>
        <w:t xml:space="preserve"> </w:t>
      </w:r>
      <w:r>
        <w:t xml:space="preserve">Nexus Analytics FZ-LLC</w:t>
      </w:r>
    </w:p>
    <w:p>
      <w:pPr>
        <w:numPr>
          <w:ilvl w:val="0"/>
          <w:numId w:val="1001"/>
        </w:numPr>
        <w:pStyle w:val="Compact"/>
      </w:pPr>
      <w:r>
        <w:rPr>
          <w:bCs/>
          <w:b/>
        </w:rPr>
        <w:t xml:space="preserve">Account Number:</w:t>
      </w:r>
      <w:r>
        <w:t xml:space="preserve"> </w:t>
      </w:r>
      <w:r>
        <w:t xml:space="preserve">002-1234-5678-901</w:t>
      </w:r>
    </w:p>
    <w:p>
      <w:pPr>
        <w:numPr>
          <w:ilvl w:val="0"/>
          <w:numId w:val="1001"/>
        </w:numPr>
        <w:pStyle w:val="Compact"/>
      </w:pPr>
      <w:r>
        <w:rPr>
          <w:bCs/>
          <w:b/>
        </w:rPr>
        <w:t xml:space="preserve">IBAN:</w:t>
      </w:r>
      <w:r>
        <w:t xml:space="preserve"> </w:t>
      </w:r>
      <w:r>
        <w:t xml:space="preserve">AE0700000000000012345678</w:t>
      </w:r>
    </w:p>
    <w:p>
      <w:pPr>
        <w:numPr>
          <w:ilvl w:val="0"/>
          <w:numId w:val="1001"/>
        </w:numPr>
        <w:pStyle w:val="Compact"/>
      </w:pPr>
      <w:r>
        <w:rPr>
          <w:bCs/>
          <w:b/>
        </w:rPr>
        <w:t xml:space="preserve">SWIFT Code:</w:t>
      </w:r>
      <w:r>
        <w:t xml:space="preserve"> </w:t>
      </w:r>
      <w:r>
        <w:t xml:space="preserve">FABDAEAD</w:t>
      </w:r>
    </w:p>
    <w:p>
      <w:pPr>
        <w:numPr>
          <w:ilvl w:val="0"/>
          <w:numId w:val="1001"/>
        </w:numPr>
        <w:pStyle w:val="Compact"/>
      </w:pPr>
      <w:r>
        <w:rPr>
          <w:bCs/>
          <w:b/>
        </w:rPr>
        <w:t xml:space="preserve">Reference:</w:t>
      </w:r>
      <w:r>
        <w:t xml:space="preserve"> </w:t>
      </w:r>
      <w:r>
        <w:t xml:space="preserve">NAX-2025-0047</w:t>
      </w:r>
    </w:p>
    <w:p>
      <w:pPr>
        <w:numPr>
          <w:ilvl w:val="0"/>
          <w:numId w:val="1001"/>
        </w:numPr>
        <w:pStyle w:val="Compact"/>
      </w:pPr>
      <w:r>
        <w:rPr>
          <w:bCs/>
          <w:b/>
        </w:rPr>
        <w:t xml:space="preserve">Payment Due:</w:t>
      </w:r>
      <w:r>
        <w:t xml:space="preserve"> </w:t>
      </w:r>
      <w:r>
        <w:t xml:space="preserve">Within 15 calendar days from the Invoice date (by 30 June 2025)</w:t>
      </w:r>
    </w:p>
    <w:bookmarkEnd w:id="25"/>
    <w:p>
      <w:pPr>
        <w:pStyle w:val="FirstParagraph"/>
      </w:pPr>
      <w:r>
        <w:rPr>
          <w:bCs/>
          <w:b/>
        </w:rPr>
        <w:t xml:space="preserve">Nexus Analytics FZ-LLC</w:t>
      </w:r>
      <w:r>
        <w:t xml:space="preserve"> </w:t>
      </w:r>
      <w:r>
        <w:t xml:space="preserve">| Office 412, Level 4, Al Reem Island Tower, United Arab Emirates Abu Dhabi</w:t>
      </w:r>
    </w:p>
    <w:p>
      <w:pPr>
        <w:pStyle w:val="BodyText"/>
      </w:pPr>
      <w:r>
        <w:t xml:space="preserve">License No: AD-2019-45678 | TRN: 100234567800003 | CR: 100456789</w:t>
      </w:r>
    </w:p>
    <w:p>
      <w:pPr>
        <w:pStyle w:val="BodyText"/>
      </w:pPr>
      <w:r>
        <w:t xml:space="preserve">This Invoice was generated electronically and is valid without a physical signature. For queries regarding this Invoice, please contact our billing department at billing@nexusanalytics.ae or +971 2 555 0142.</w:t>
      </w:r>
    </w:p>
    <w:p>
      <w:pPr>
        <w:pStyle w:val="BodyText"/>
      </w:pPr>
      <w:r>
        <w:t xml:space="preserve">© 2025 Nexus Analytics FZ-LLC. All rights reserved. This document constitutes a legal Invoice under UAE Federal Decree-Law No. 8 of 2017 on Value Added Tax.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United Arab Emirates Abu Dhabi</dc:title>
  <dc:creator/>
  <dc:language>en</dc:language>
  <cp:keywords/>
  <dcterms:created xsi:type="dcterms:W3CDTF">2026-10-10T03:00:19Z</dcterms:created>
  <dcterms:modified xsi:type="dcterms:W3CDTF">2026-10-10T03:00:19Z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