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20" w:name="quantum-analytics-solutions-llc"/>
    <w:p>
      <w:pPr>
        <w:pStyle w:val="Heading1"/>
      </w:pPr>
      <w:r>
        <w:t xml:space="preserve">Quantum Analytics Solutions LLC</w:t>
      </w:r>
    </w:p>
    <w:p>
      <w:pPr>
        <w:pStyle w:val="FirstParagraph"/>
      </w:pPr>
      <w:r>
        <w:t xml:space="preserve">1285 Avenue of the Americas, Suite 4200</w:t>
      </w:r>
    </w:p>
    <w:p>
      <w:pPr>
        <w:pStyle w:val="BodyText"/>
      </w:pPr>
      <w:r>
        <w:t xml:space="preserve">New York, New York 10020, United States</w:t>
      </w:r>
    </w:p>
    <w:p>
      <w:pPr>
        <w:pStyle w:val="BodyText"/>
      </w:pPr>
      <w:r>
        <w:t xml:space="preserve">Phone: (212) 555-0187</w:t>
      </w:r>
    </w:p>
    <w:p>
      <w:pPr>
        <w:pStyle w:val="BodyText"/>
      </w:pPr>
      <w:r>
        <w:t xml:space="preserve">Email: billing@quantumanalyticsnyc.com</w:t>
      </w:r>
    </w:p>
    <w:p>
      <w:pPr>
        <w:pStyle w:val="BodyText"/>
      </w:pPr>
      <w:r>
        <w:t xml:space="preserve">EIN: 84-2917365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QAS-2025-00472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Meridian Financial Group, Inc.</w:t>
      </w:r>
    </w:p>
    <w:p>
      <w:pPr>
        <w:pStyle w:val="BodyText"/>
      </w:pPr>
      <w:r>
        <w:t xml:space="preserve">Attn: Sarah Chen, Chief Data Officer</w:t>
      </w:r>
    </w:p>
    <w:p>
      <w:pPr>
        <w:pStyle w:val="BodyText"/>
      </w:pPr>
      <w:r>
        <w:t xml:space="preserve">200 Park Avenue, 38th Floor</w:t>
      </w:r>
    </w:p>
    <w:p>
      <w:pPr>
        <w:pStyle w:val="BodyText"/>
      </w:pPr>
      <w:r>
        <w:t xml:space="preserve">New York, New York 10166, United States</w:t>
      </w:r>
    </w:p>
    <w:p>
      <w:pPr>
        <w:pStyle w:val="BodyText"/>
      </w:pPr>
      <w:r>
        <w:t xml:space="preserve">Phone: (212) 555-0342</w:t>
      </w:r>
    </w:p>
    <w:p>
      <w:pPr>
        <w:pStyle w:val="BodyText"/>
      </w:pPr>
      <w:r>
        <w:t xml:space="preserve">Email: s.chen@meridianfinancial.com</w:t>
      </w:r>
    </w:p>
    <w:bookmarkEnd w:id="22"/>
    <w:bookmarkStart w:id="23" w:name="service-provider"/>
    <w:p>
      <w:pPr>
        <w:pStyle w:val="Heading3"/>
      </w:pPr>
      <w:r>
        <w:t xml:space="preserve">Service Provider</w:t>
      </w:r>
    </w:p>
    <w:p>
      <w:pPr>
        <w:pStyle w:val="FirstParagraph"/>
      </w:pPr>
      <w:r>
        <w:rPr>
          <w:bCs/>
          <w:b/>
        </w:rPr>
        <w:t xml:space="preserve">Dr. Marcus A. Whitfield</w:t>
      </w:r>
    </w:p>
    <w:p>
      <w:pPr>
        <w:pStyle w:val="BodyText"/>
      </w:pPr>
      <w:r>
        <w:t xml:space="preserve">Senior Data Scientist</w:t>
      </w:r>
    </w:p>
    <w:p>
      <w:pPr>
        <w:pStyle w:val="BodyText"/>
      </w:pPr>
      <w:r>
        <w:t xml:space="preserve">Quantum Analytics Solutions LLC</w:t>
      </w:r>
    </w:p>
    <w:p>
      <w:pPr>
        <w:pStyle w:val="BodyText"/>
      </w:pPr>
      <w:r>
        <w:t xml:space="preserve">New York, New York 10020, United States</w:t>
      </w:r>
    </w:p>
    <w:p>
      <w:pPr>
        <w:pStyle w:val="BodyText"/>
      </w:pPr>
      <w:r>
        <w:t xml:space="preserve">NYC Professional License: DS-2025-8841</w:t>
      </w:r>
    </w:p>
    <w:p>
      <w:pPr>
        <w:pStyle w:val="BodyText"/>
      </w:pPr>
      <w:r>
        <w:t xml:space="preserve">Specialization: Predictive Modeling &amp; Machine Learning</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Machine Learning Model Development</w:t>
            </w:r>
          </w:p>
          <w:p>
            <w:pPr>
              <w:jc w:val="left"/>
            </w:pPr>
            <w:r>
              <w:t xml:space="preserve">Design, training, and validation of a customer churn prediction model using gradient boosting algorithms. Includes feature engineering, hyperparameter tuning, and cross-validation on historical transactional data provided by Meridian Financial Group. All work performed at the Quantum Analytics Solutions office in Midtown Manhattan, New York City.</w:t>
            </w:r>
          </w:p>
        </w:tc>
        <w:tc>
          <w:tcPr/>
          <w:p>
            <w:pPr>
              <w:pStyle w:val="Compact"/>
              <w:jc w:val="left"/>
            </w:pPr>
            <w:r>
              <w:t xml:space="preserve">48</w:t>
            </w:r>
          </w:p>
        </w:tc>
        <w:tc>
          <w:tcPr/>
          <w:p>
            <w:pPr>
              <w:pStyle w:val="Compact"/>
              <w:jc w:val="left"/>
            </w:pPr>
            <w:r>
              <w:t xml:space="preserve">$225.00</w:t>
            </w:r>
          </w:p>
        </w:tc>
        <w:tc>
          <w:tcPr/>
          <w:p>
            <w:pPr>
              <w:pStyle w:val="Compact"/>
              <w:jc w:val="left"/>
            </w:pPr>
            <w:r>
              <w:t xml:space="preserve">$10,800.00</w:t>
            </w:r>
          </w:p>
        </w:tc>
      </w:tr>
      <w:tr>
        <w:tc>
          <w:tcPr/>
          <w:p>
            <w:pPr>
              <w:pStyle w:val="Compact"/>
              <w:jc w:val="left"/>
            </w:pPr>
            <w:r>
              <w:t xml:space="preserve">2</w:t>
            </w:r>
          </w:p>
        </w:tc>
        <w:tc>
          <w:tcPr/>
          <w:p>
            <w:pPr>
              <w:pStyle w:val="Compact"/>
              <w:jc w:val="left"/>
            </w:pPr>
            <w:r>
              <w:rPr>
                <w:bCs/>
                <w:b/>
              </w:rPr>
              <w:t xml:space="preserve">Data Pipeline Architecture &amp; Optimization</w:t>
            </w:r>
          </w:p>
          <w:p>
            <w:pPr>
              <w:jc w:val="left"/>
            </w:pPr>
            <w:r>
              <w:t xml:space="preserve">End-to-end design and implementation of a real-time data ingestion pipeline integrating with the client's existing AWS infrastructure. Includes ETL process optimization, data quality validation scripts, and automated anomaly detection modules. Conducted in compliance with New York State data privacy regulations (NYC Local Law 144).</w:t>
            </w:r>
          </w:p>
        </w:tc>
        <w:tc>
          <w:tcPr/>
          <w:p>
            <w:pPr>
              <w:pStyle w:val="Compact"/>
              <w:jc w:val="left"/>
            </w:pPr>
            <w:r>
              <w:t xml:space="preserve">36</w:t>
            </w:r>
          </w:p>
        </w:tc>
        <w:tc>
          <w:tcPr/>
          <w:p>
            <w:pPr>
              <w:pStyle w:val="Compact"/>
              <w:jc w:val="left"/>
            </w:pPr>
            <w:r>
              <w:t xml:space="preserve">$225.00</w:t>
            </w:r>
          </w:p>
        </w:tc>
        <w:tc>
          <w:tcPr/>
          <w:p>
            <w:pPr>
              <w:pStyle w:val="Compact"/>
              <w:jc w:val="left"/>
            </w:pPr>
            <w:r>
              <w:t xml:space="preserve">$8,100.00</w:t>
            </w:r>
          </w:p>
        </w:tc>
      </w:tr>
      <w:tr>
        <w:tc>
          <w:tcPr/>
          <w:p>
            <w:pPr>
              <w:pStyle w:val="Compact"/>
              <w:jc w:val="left"/>
            </w:pPr>
            <w:r>
              <w:t xml:space="preserve">3</w:t>
            </w:r>
          </w:p>
        </w:tc>
        <w:tc>
          <w:tcPr/>
          <w:p>
            <w:pPr>
              <w:pStyle w:val="Compact"/>
              <w:jc w:val="left"/>
            </w:pPr>
            <w:r>
              <w:rPr>
                <w:bCs/>
                <w:b/>
              </w:rPr>
              <w:t xml:space="preserve">Statistical Analysis &amp; Predictive Reporting</w:t>
            </w:r>
          </w:p>
          <w:p>
            <w:pPr>
              <w:jc w:val="left"/>
            </w:pPr>
            <w:r>
              <w:t xml:space="preserve">Comprehensive statistical analysis of quarterly portfolio performance data. Includes regression modeling, time-series forecasting, and generation of executive-level visual dashboards. Findings presented in a formal report delivered to the Meridian Financial Group board of directors in New York City.</w:t>
            </w:r>
          </w:p>
        </w:tc>
        <w:tc>
          <w:tcPr/>
          <w:p>
            <w:pPr>
              <w:pStyle w:val="Compact"/>
              <w:jc w:val="left"/>
            </w:pPr>
            <w:r>
              <w:t xml:space="preserve">24</w:t>
            </w:r>
          </w:p>
        </w:tc>
        <w:tc>
          <w:tcPr/>
          <w:p>
            <w:pPr>
              <w:pStyle w:val="Compact"/>
              <w:jc w:val="left"/>
            </w:pPr>
            <w:r>
              <w:t xml:space="preserve">$225.00</w:t>
            </w:r>
          </w:p>
        </w:tc>
        <w:tc>
          <w:tcPr/>
          <w:p>
            <w:pPr>
              <w:pStyle w:val="Compact"/>
              <w:jc w:val="left"/>
            </w:pPr>
            <w:r>
              <w:t xml:space="preserve">$5,400.00</w:t>
            </w:r>
          </w:p>
        </w:tc>
      </w:tr>
      <w:tr>
        <w:tc>
          <w:tcPr/>
          <w:p>
            <w:pPr>
              <w:pStyle w:val="Compact"/>
              <w:jc w:val="left"/>
            </w:pPr>
            <w:r>
              <w:t xml:space="preserve">4</w:t>
            </w:r>
          </w:p>
        </w:tc>
        <w:tc>
          <w:tcPr/>
          <w:p>
            <w:pPr>
              <w:pStyle w:val="Compact"/>
              <w:jc w:val="left"/>
            </w:pPr>
            <w:r>
              <w:rPr>
                <w:bCs/>
                <w:b/>
              </w:rPr>
              <w:t xml:space="preserve">Consultation &amp; Strategy Sessions</w:t>
            </w:r>
          </w:p>
          <w:p>
            <w:pPr>
              <w:jc w:val="left"/>
            </w:pPr>
            <w:r>
              <w:t xml:space="preserve">Four on-site consultation sessions (3 hours each) at the Meridian Financial Group headquarters on Park Avenue, New York City. Topics covered: AI integration roadmap, data governance framework, and talent development strategy for the in-house analytics team. Includes preparation of strategic recommendations document.</w:t>
            </w:r>
          </w:p>
        </w:tc>
        <w:tc>
          <w:tcPr/>
          <w:p>
            <w:pPr>
              <w:pStyle w:val="Compact"/>
              <w:jc w:val="left"/>
            </w:pPr>
            <w:r>
              <w:t xml:space="preserve">12</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5</w:t>
            </w:r>
          </w:p>
        </w:tc>
        <w:tc>
          <w:tcPr/>
          <w:p>
            <w:pPr>
              <w:pStyle w:val="Compact"/>
              <w:jc w:val="left"/>
            </w:pPr>
            <w:r>
              <w:rPr>
                <w:bCs/>
                <w:b/>
              </w:rPr>
              <w:t xml:space="preserve">Model Deployment &amp; Documentation</w:t>
            </w:r>
          </w:p>
          <w:p>
            <w:pPr>
              <w:jc w:val="left"/>
            </w:pPr>
            <w:r>
              <w:t xml:space="preserve">Production deployment of the churn prediction model to the client's staging environment. Includes comprehensive technical documentation, API integration guides, model monitoring setup, and a two-hour knowledge transfer workshop for the client's engineering team in New York, United States.</w:t>
            </w:r>
          </w:p>
        </w:tc>
        <w:tc>
          <w:tcPr/>
          <w:p>
            <w:pPr>
              <w:pStyle w:val="Compact"/>
              <w:jc w:val="left"/>
            </w:pPr>
            <w:r>
              <w:t xml:space="preserve">20</w:t>
            </w:r>
          </w:p>
        </w:tc>
        <w:tc>
          <w:tcPr/>
          <w:p>
            <w:pPr>
              <w:pStyle w:val="Compact"/>
              <w:jc w:val="left"/>
            </w:pPr>
            <w:r>
              <w:t xml:space="preserve">$225.00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$32,100.00</w:t>
            </w:r>
          </w:p>
        </w:tc>
      </w:tr>
      <w:tr>
        <w:tc>
          <w:tcPr/>
          <w:p>
            <w:pPr>
              <w:pStyle w:val="Compact"/>
              <w:jc w:val="left"/>
            </w:pPr>
            <w:r>
              <w:t xml:space="preserve">Applicable Discount (5% – Annual Contract)</w:t>
            </w:r>
          </w:p>
        </w:tc>
        <w:tc>
          <w:tcPr/>
          <w:p>
            <w:pPr>
              <w:pStyle w:val="Compact"/>
              <w:jc w:val="left"/>
            </w:pPr>
            <w:r>
              <w:t xml:space="preserve">-$1,605.00</w:t>
            </w:r>
          </w:p>
        </w:tc>
      </w:tr>
      <w:tr>
        <w:tc>
          <w:tcPr/>
          <w:p>
            <w:pPr>
              <w:pStyle w:val="Compact"/>
              <w:jc w:val="left"/>
            </w:pPr>
            <w:r>
              <w:t xml:space="preserve">NYC Sales Tax (Professional Services – Exempt)</w:t>
            </w:r>
          </w:p>
        </w:tc>
        <w:tc>
          <w:tcPr/>
          <w:p>
            <w:pPr>
              <w:pStyle w:val="Compact"/>
              <w:jc w:val="left"/>
            </w:pPr>
            <w:r>
              <w:t xml:space="preserve">$0.00</w:t>
            </w:r>
          </w:p>
        </w:tc>
      </w:tr>
      <w:tr>
        <w:tc>
          <w:tcPr/>
          <w:p>
            <w:pPr>
              <w:pStyle w:val="Compact"/>
              <w:jc w:val="left"/>
            </w:pPr>
            <w:r>
              <w:t xml:space="preserve">Travel &amp; Local Transportation (NYC Metro Area)</w:t>
            </w:r>
          </w:p>
        </w:tc>
        <w:tc>
          <w:tcPr/>
          <w:p>
            <w:pPr>
              <w:pStyle w:val="Compact"/>
              <w:jc w:val="left"/>
            </w:pPr>
            <w:r>
              <w:t xml:space="preserve">$340.00</w:t>
            </w:r>
          </w:p>
        </w:tc>
      </w:tr>
      <w:tr>
        <w:tc>
          <w:tcPr/>
          <w:p>
            <w:pPr>
              <w:pStyle w:val="Compact"/>
              <w:jc w:val="left"/>
            </w:pPr>
            <w:r>
              <w:t xml:space="preserve">Grand Total Due</w:t>
            </w:r>
          </w:p>
        </w:tc>
        <w:tc>
          <w:tcPr/>
          <w:p>
            <w:pPr>
              <w:pStyle w:val="Compact"/>
              <w:jc w:val="left"/>
            </w:pPr>
            <w:r>
              <w:t xml:space="preserve">$30,835.00</w:t>
            </w:r>
          </w:p>
        </w:tc>
      </w:tr>
    </w:tbl>
    <w:bookmarkStart w:id="24" w:name="payment-terms-instructions"/>
    <w:p>
      <w:pPr>
        <w:pStyle w:val="Heading3"/>
      </w:pPr>
      <w:r>
        <w:t xml:space="preserve">Payment Terms &amp; Instructions</w:t>
      </w:r>
    </w:p>
    <w:p>
      <w:pPr>
        <w:pStyle w:val="FirstParagraph"/>
      </w:pPr>
      <w:r>
        <w:rPr>
          <w:bCs/>
          <w:b/>
        </w:rPr>
        <w:t xml:space="preserve">Terms:</w:t>
      </w:r>
      <w:r>
        <w:t xml:space="preserve"> </w:t>
      </w:r>
      <w:r>
        <w:t xml:space="preserve">Net 30 days from the date of this invoice. Payment is due no later than July 15, 2025.</w:t>
      </w:r>
    </w:p>
    <w:p>
      <w:pPr>
        <w:pStyle w:val="BodyText"/>
      </w:pPr>
      <w:r>
        <w:rPr>
          <w:bCs/>
          <w:b/>
        </w:rPr>
        <w:t xml:space="preserve">Accepted Methods:</w:t>
      </w:r>
      <w:r>
        <w:t xml:space="preserve"> </w:t>
      </w:r>
      <w:r>
        <w:t xml:space="preserve">Wire transfer (ACH), certified check, or corporate check payable to Quantum Analytics Solutions LLC.</w:t>
      </w:r>
    </w:p>
    <w:p>
      <w:pPr>
        <w:pStyle w:val="BodyText"/>
      </w:pPr>
      <w:r>
        <w:rPr>
          <w:bCs/>
          <w:b/>
        </w:rPr>
        <w:t xml:space="preserve">Bank Details:</w:t>
      </w:r>
      <w:r>
        <w:t xml:space="preserve"> </w:t>
      </w:r>
      <w:r>
        <w:t xml:space="preserve">First Republic Bank, New York City Branch | Routing: 021000021 | Account: 4472-8891-003 | SWIFT: FRBNUS33</w:t>
      </w:r>
    </w:p>
    <w:p>
      <w:pPr>
        <w:pStyle w:val="BodyText"/>
      </w:pPr>
      <w:r>
        <w:rPr>
          <w:bCs/>
          <w:b/>
        </w:rPr>
        <w:t xml:space="preserve">Late Payment:</w:t>
      </w:r>
      <w:r>
        <w:t xml:space="preserve"> </w:t>
      </w:r>
      <w:r>
        <w:t xml:space="preserve">A late fee of 1.5% per month (18% annual) will be applied to any balance remaining after the due date, in accordance with New York State commercial transaction statutes (NY UCC § 2-709).</w:t>
      </w:r>
    </w:p>
    <w:p>
      <w:pPr>
        <w:pStyle w:val="BodyText"/>
      </w:pPr>
      <w:r>
        <w:rPr>
          <w:bCs/>
          <w:b/>
        </w:rPr>
        <w:t xml:space="preserve">Disputes:</w:t>
      </w:r>
      <w:r>
        <w:t xml:space="preserve"> </w:t>
      </w:r>
      <w:r>
        <w:t xml:space="preserve">Any billing discrepancies must be reported in writing to the address above within ten (10) business days of the invoice date. Unresolved disputes will be subject to mediation in New York County, New York, United States.</w:t>
      </w:r>
    </w:p>
    <w:bookmarkEnd w:id="24"/>
    <w:bookmarkStart w:id="25" w:name="additional-notes"/>
    <w:p>
      <w:pPr>
        <w:pStyle w:val="Heading3"/>
      </w:pPr>
      <w:r>
        <w:t xml:space="preserve">Additional Notes</w:t>
      </w:r>
    </w:p>
    <w:p>
      <w:pPr>
        <w:pStyle w:val="FirstParagraph"/>
      </w:pPr>
      <w:r>
        <w:t xml:space="preserve">This invoice covers professional Data Scientist services rendered by Dr. Marcus A. Whitfield during the month of May 2025. All deliverables, including source code, model artifacts, documentation, and analytical reports, are the exclusive intellectual property of Meridian Financial Group, Inc. upon full payment of this invoice, as stipulated in the Master Services Agreement dated January 10, 2025.</w:t>
      </w:r>
    </w:p>
    <w:p>
      <w:pPr>
        <w:pStyle w:val="BodyText"/>
      </w:pPr>
      <w:r>
        <w:t xml:space="preserve">Quantum Analytics Solutions LLC is a registered limited liability company in the State of New York, United States. All services were performed in compliance with applicable federal, New York State, and New York City regulations, including but not limited to the New York City Administrative Code and the New York State Technology Law (NYSTL).</w:t>
      </w:r>
    </w:p>
    <w:p>
      <w:pPr>
        <w:pStyle w:val="BodyText"/>
      </w:pPr>
      <w:r>
        <w:t xml:space="preserve">Please retain this invoice for your corporate tax records. This document serves as the official billing record for the services described herein. For any questions regarding this invoice or the Data Scientist engagement, please contact our billing department at (212) 555-0187 or billing@quantumanalyticsnyc.com.</w:t>
      </w:r>
    </w:p>
    <w:bookmarkEnd w:id="25"/>
    <w:p>
      <w:pPr>
        <w:pStyle w:val="BodyText"/>
      </w:pPr>
      <w:r>
        <w:rPr>
          <w:bCs/>
          <w:b/>
        </w:rPr>
        <w:t xml:space="preserve">Quantum Analytics Solutions LLC</w:t>
      </w:r>
      <w:r>
        <w:t xml:space="preserve"> </w:t>
      </w:r>
      <w:r>
        <w:t xml:space="preserve">| 1285 Avenue of the Americas, Suite 4200, New York, NY 10020, United States</w:t>
      </w:r>
    </w:p>
    <w:p>
      <w:pPr>
        <w:pStyle w:val="BodyText"/>
      </w:pPr>
      <w:r>
        <w:t xml:space="preserve">Registered in the State of New York | EIN: 84-2917365 | NYC Business License: 2025-DS-4471</w:t>
      </w:r>
    </w:p>
    <w:p>
      <w:pPr>
        <w:pStyle w:val="BodyText"/>
      </w:pPr>
      <w:r>
        <w:t xml:space="preserve">This invoice was generated electronically and is valid without a physical signature. Thank you for your business.</w:t>
      </w:r>
    </w:p>
    <w:p>
      <w:pPr>
        <w:pStyle w:val="BodyText"/>
      </w:pPr>
      <w:r>
        <w:t xml:space="preserve">Invoice QAS-2025-00472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New York City, United States</dc:title>
  <dc:creator/>
  <dc:language>en</dc:language>
  <cp:keywords/>
  <dcterms:created xsi:type="dcterms:W3CDTF">2026-10-10T07:04:04Z</dcterms:created>
  <dcterms:modified xsi:type="dcterms:W3CDTF">2026-10-10T07:04:04Z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