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city-dental"/>
    <w:p>
      <w:pPr>
        <w:pStyle w:val="Heading1"/>
      </w:pPr>
      <w:r>
        <w:t xml:space="preserve">Melbourne City Dental</w:t>
      </w:r>
    </w:p>
    <w:p>
      <w:pPr>
        <w:pStyle w:val="FirstParagraph"/>
      </w:pPr>
      <w:r>
        <w:t xml:space="preserve">Level 4, 123 Collins Street</w:t>
      </w:r>
    </w:p>
    <w:p>
      <w:pPr>
        <w:pStyle w:val="BodyText"/>
      </w:pPr>
      <w:r>
        <w:t xml:space="preserve">Melbourne VIC 3000, Australia</w:t>
      </w:r>
    </w:p>
    <w:p>
      <w:pPr>
        <w:pStyle w:val="BodyText"/>
      </w:pPr>
      <w:r>
        <w:t xml:space="preserve">Phone: (03) 9123 4567</w:t>
      </w:r>
    </w:p>
    <w:p>
      <w:pPr>
        <w:pStyle w:val="BodyText"/>
      </w:pPr>
      <w:r>
        <w:t xml:space="preserve">Email: billing@melbournecitydental.com.au</w:t>
      </w:r>
    </w:p>
    <w:p>
      <w:pPr>
        <w:pStyle w:val="BodyText"/>
      </w:pPr>
      <w:r>
        <w:t xml:space="preserve">ABN: 12 345 678 901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Status:</w:t>
      </w:r>
      <w:r>
        <w:t xml:space="preserve"> </w:t>
      </w:r>
      <w:r>
        <w:t xml:space="preserve">Outstanding</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Chapel Street</w:t>
      </w:r>
    </w:p>
    <w:p>
      <w:pPr>
        <w:pStyle w:val="BodyText"/>
      </w:pPr>
      <w:r>
        <w:t xml:space="preserve">South Yarra VIC 3141</w:t>
      </w:r>
    </w:p>
    <w:p>
      <w:pPr>
        <w:pStyle w:val="BodyText"/>
      </w:pPr>
      <w:r>
        <w:t xml:space="preserve">Australia</w:t>
      </w:r>
    </w:p>
    <w:p>
      <w:pPr>
        <w:pStyle w:val="BodyText"/>
      </w:pPr>
      <w:r>
        <w:t xml:space="preserve">Phone: 0412 345 678</w:t>
      </w:r>
    </w:p>
    <w:p>
      <w:pPr>
        <w:pStyle w:val="BodyText"/>
      </w:pPr>
      <w:r>
        <w:t xml:space="preserve">Email: james.anderson@example.com</w:t>
      </w:r>
    </w:p>
    <w:p>
      <w:pPr>
        <w:pStyle w:val="BodyText"/>
      </w:pPr>
      <w:r>
        <w:rPr>
          <w:bCs/>
          <w:b/>
        </w:rPr>
        <w:t xml:space="preserve">Health Fund:</w:t>
      </w:r>
      <w:r>
        <w:t xml:space="preserve"> </w:t>
      </w:r>
      <w:r>
        <w:t xml:space="preserve">Bupa Private Health Insurance</w:t>
      </w:r>
    </w:p>
    <w:p>
      <w:pPr>
        <w:pStyle w:val="BodyText"/>
      </w:pPr>
      <w:r>
        <w:rPr>
          <w:bCs/>
          <w:b/>
        </w:rPr>
        <w:t xml:space="preserve">Member ID:</w:t>
      </w:r>
      <w:r>
        <w:t xml:space="preserve"> </w:t>
      </w:r>
      <w:r>
        <w:t xml:space="preserve">BUP-99887766</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Dental Services</w:t>
            </w:r>
          </w:p>
        </w:tc>
        <w:tc>
          <w:tcPr/>
          <w:p>
            <w:pPr>
              <w:pStyle w:val="Compact"/>
              <w:jc w:val="left"/>
            </w:pPr>
            <w:r>
              <w:t xml:space="preserve">Item Number</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rPr>
                <w:bCs/>
                <w:b/>
              </w:rPr>
              <w:t xml:space="preserve">Comprehensive Dental Examination</w:t>
            </w:r>
            <w:r>
              <w:br/>
            </w:r>
            <w:r>
              <w:t xml:space="preserve">Includes full oral health assessment, review of medical history, and discussion of treatment options tailored to patient needs in Melbourne.</w:t>
            </w:r>
          </w:p>
        </w:tc>
        <w:tc>
          <w:tcPr/>
          <w:p>
            <w:pPr>
              <w:pStyle w:val="Compact"/>
              <w:jc w:val="left"/>
            </w:pPr>
            <w:r>
              <w:t xml:space="preserve">02100</w:t>
            </w:r>
          </w:p>
        </w:tc>
        <w:tc>
          <w:tcPr/>
          <w:p>
            <w:pPr>
              <w:pStyle w:val="Compact"/>
              <w:jc w:val="left"/>
            </w:pPr>
            <w:r>
              <w:t xml:space="preserve">1</w:t>
            </w:r>
          </w:p>
        </w:tc>
        <w:tc>
          <w:tcPr/>
          <w:p>
            <w:pPr>
              <w:pStyle w:val="Compact"/>
              <w:jc w:val="left"/>
            </w:pPr>
            <w:r>
              <w:t xml:space="preserve">$185.00</w:t>
            </w:r>
          </w:p>
        </w:tc>
      </w:tr>
      <w:tr>
        <w:tc>
          <w:tcPr/>
          <w:p>
            <w:pPr>
              <w:pStyle w:val="Compact"/>
              <w:jc w:val="left"/>
            </w:pPr>
            <w:r>
              <w:rPr>
                <w:bCs/>
                <w:b/>
              </w:rPr>
              <w:t xml:space="preserve">Full Mouth Radiographs (X-Rays)</w:t>
            </w:r>
            <w:r>
              <w:br/>
            </w:r>
            <w:r>
              <w:t xml:space="preserve">Digital panoramic and periapical X-rays to assess bone structure and tooth integrity.</w:t>
            </w:r>
          </w:p>
        </w:tc>
        <w:tc>
          <w:tcPr/>
          <w:p>
            <w:pPr>
              <w:pStyle w:val="Compact"/>
              <w:jc w:val="left"/>
            </w:pPr>
            <w:r>
              <w:t xml:space="preserve">03100</w:t>
            </w:r>
          </w:p>
        </w:tc>
        <w:tc>
          <w:tcPr/>
          <w:p>
            <w:pPr>
              <w:pStyle w:val="Compact"/>
              <w:jc w:val="left"/>
            </w:pPr>
            <w:r>
              <w:t xml:space="preserve">1</w:t>
            </w:r>
          </w:p>
        </w:tc>
        <w:tc>
          <w:tcPr/>
          <w:p>
            <w:pPr>
              <w:pStyle w:val="Compact"/>
              <w:jc w:val="left"/>
            </w:pPr>
            <w:r>
              <w:t xml:space="preserve">$220.00</w:t>
            </w:r>
          </w:p>
        </w:tc>
      </w:tr>
      <w:tr>
        <w:tc>
          <w:tcPr/>
          <w:p>
            <w:pPr>
              <w:pStyle w:val="Compact"/>
              <w:jc w:val="left"/>
            </w:pPr>
            <w:r>
              <w:rPr>
                <w:bCs/>
                <w:b/>
              </w:rPr>
              <w:t xml:space="preserve">Professional Scale and Clean</w:t>
            </w:r>
            <w:r>
              <w:br/>
            </w:r>
            <w:r>
              <w:t xml:space="preserve">Ultrasonic scaling and polishing to remove plaque and tartar buildup, ensuring gum health.</w:t>
            </w:r>
          </w:p>
        </w:tc>
        <w:tc>
          <w:tcPr/>
          <w:p>
            <w:pPr>
              <w:pStyle w:val="Compact"/>
              <w:jc w:val="left"/>
            </w:pPr>
            <w:r>
              <w:t xml:space="preserve">04100</w:t>
            </w:r>
          </w:p>
        </w:tc>
        <w:tc>
          <w:tcPr/>
          <w:p>
            <w:pPr>
              <w:pStyle w:val="Compact"/>
              <w:jc w:val="left"/>
            </w:pPr>
            <w:r>
              <w:t xml:space="preserve">1</w:t>
            </w:r>
          </w:p>
        </w:tc>
        <w:tc>
          <w:tcPr/>
          <w:p>
            <w:pPr>
              <w:pStyle w:val="Compact"/>
              <w:jc w:val="left"/>
            </w:pPr>
            <w:r>
              <w:t xml:space="preserve">$245.00</w:t>
            </w:r>
          </w:p>
        </w:tc>
      </w:tr>
      <w:tr>
        <w:tc>
          <w:tcPr/>
          <w:p>
            <w:pPr>
              <w:pStyle w:val="Compact"/>
              <w:jc w:val="left"/>
            </w:pPr>
            <w:r>
              <w:rPr>
                <w:bCs/>
                <w:b/>
              </w:rPr>
              <w:t xml:space="preserve">Composite Resin Filling (Posterior Tooth)</w:t>
            </w:r>
            <w:r>
              <w:br/>
            </w:r>
            <w:r>
              <w:t xml:space="preserve">Tooth #30: Removal of decay and restoration with tooth-colored composite material.</w:t>
            </w:r>
          </w:p>
        </w:tc>
        <w:tc>
          <w:tcPr/>
          <w:p>
            <w:pPr>
              <w:pStyle w:val="Compact"/>
              <w:jc w:val="left"/>
            </w:pPr>
            <w:r>
              <w:t xml:space="preserve">05200</w:t>
            </w:r>
          </w:p>
        </w:tc>
        <w:tc>
          <w:tcPr/>
          <w:p>
            <w:pPr>
              <w:pStyle w:val="Compact"/>
              <w:jc w:val="left"/>
            </w:pPr>
            <w:r>
              <w:t xml:space="preserve">1</w:t>
            </w:r>
          </w:p>
        </w:tc>
        <w:tc>
          <w:tcPr/>
          <w:p>
            <w:pPr>
              <w:pStyle w:val="Compact"/>
              <w:jc w:val="left"/>
            </w:pPr>
            <w:r>
              <w:t xml:space="preserve">$310.00</w:t>
            </w:r>
          </w:p>
        </w:tc>
      </w:tr>
      <w:tr>
        <w:tc>
          <w:tcPr/>
          <w:p>
            <w:pPr>
              <w:pStyle w:val="Compact"/>
              <w:jc w:val="left"/>
            </w:pPr>
            <w:r>
              <w:rPr>
                <w:bCs/>
                <w:b/>
              </w:rPr>
              <w:t xml:space="preserve">Root Canal Treatment (Single Root)</w:t>
            </w:r>
            <w:r>
              <w:br/>
            </w:r>
            <w:r>
              <w:t xml:space="preserve">Tooth #19: Endodontic therapy to remove infected pulp, clean canals, and seal the tooth.</w:t>
            </w:r>
          </w:p>
        </w:tc>
        <w:tc>
          <w:tcPr/>
          <w:p>
            <w:pPr>
              <w:pStyle w:val="Compact"/>
              <w:jc w:val="left"/>
            </w:pPr>
            <w:r>
              <w:t xml:space="preserve">06300</w:t>
            </w:r>
          </w:p>
        </w:tc>
        <w:tc>
          <w:tcPr/>
          <w:p>
            <w:pPr>
              <w:pStyle w:val="Compact"/>
              <w:jc w:val="left"/>
            </w:pPr>
            <w:r>
              <w:t xml:space="preserve">1</w:t>
            </w:r>
          </w:p>
        </w:tc>
        <w:tc>
          <w:tcPr/>
          <w:p>
            <w:pPr>
              <w:pStyle w:val="Compact"/>
              <w:jc w:val="left"/>
            </w:pPr>
            <w:r>
              <w:t xml:space="preserve">$850.00</w:t>
            </w:r>
          </w:p>
        </w:tc>
      </w:tr>
      <w:tr>
        <w:tc>
          <w:tcPr/>
          <w:p>
            <w:pPr>
              <w:pStyle w:val="Compact"/>
              <w:jc w:val="left"/>
            </w:pPr>
            <w:r>
              <w:rPr>
                <w:bCs/>
                <w:b/>
              </w:rPr>
              <w:t xml:space="preserve">Porcelain Crown Preparation and Temporary</w:t>
            </w:r>
            <w:r>
              <w:br/>
            </w:r>
            <w:r>
              <w:t xml:space="preserve">Tooth #19: Preparation of tooth structure and placement of temporary crown while permanent is fabricated.</w:t>
            </w:r>
          </w:p>
        </w:tc>
        <w:tc>
          <w:tcPr/>
          <w:p>
            <w:pPr>
              <w:pStyle w:val="Compact"/>
              <w:jc w:val="left"/>
            </w:pPr>
            <w:r>
              <w:t xml:space="preserve">07400</w:t>
            </w:r>
          </w:p>
        </w:tc>
        <w:tc>
          <w:tcPr/>
          <w:p>
            <w:pPr>
              <w:pStyle w:val="Compact"/>
              <w:jc w:val="left"/>
            </w:pPr>
            <w:r>
              <w:t xml:space="preserve">1</w:t>
            </w:r>
          </w:p>
        </w:tc>
        <w:tc>
          <w:tcPr/>
          <w:p>
            <w:pPr>
              <w:pStyle w:val="Compact"/>
              <w:jc w:val="left"/>
            </w:pPr>
            <w:r>
              <w:t xml:space="preserve">$650.00</w:t>
            </w:r>
          </w:p>
        </w:tc>
      </w:tr>
      <w:tr>
        <w:tc>
          <w:tcPr/>
          <w:p>
            <w:pPr>
              <w:pStyle w:val="Compact"/>
              <w:jc w:val="left"/>
            </w:pPr>
            <w:r>
              <w:rPr>
                <w:bCs/>
                <w:b/>
              </w:rPr>
              <w:t xml:space="preserve">Fluoride Treatment</w:t>
            </w:r>
            <w:r>
              <w:br/>
            </w:r>
            <w:r>
              <w:t xml:space="preserve">Application of high-concentration fluoride varnish to strengthen enamel and prevent future decay.</w:t>
            </w:r>
          </w:p>
        </w:tc>
        <w:tc>
          <w:tcPr/>
          <w:p>
            <w:pPr>
              <w:pStyle w:val="Compact"/>
              <w:jc w:val="left"/>
            </w:pPr>
            <w:r>
              <w:t xml:space="preserve">08500</w:t>
            </w:r>
          </w:p>
        </w:tc>
        <w:tc>
          <w:tcPr/>
          <w:p>
            <w:pPr>
              <w:pStyle w:val="Compact"/>
              <w:jc w:val="left"/>
            </w:pPr>
            <w:r>
              <w:t xml:space="preserve">1</w:t>
            </w:r>
          </w:p>
        </w:tc>
        <w:tc>
          <w:tcPr/>
          <w:p>
            <w:pPr>
              <w:pStyle w:val="Compact"/>
              <w:jc w:val="left"/>
            </w:pPr>
            <w:r>
              <w:t xml:space="preserve">$45.00</w:t>
            </w:r>
          </w:p>
        </w:tc>
      </w:tr>
    </w:tbl>
    <w:p>
      <w:pPr>
        <w:pStyle w:val="BodyText"/>
      </w:pPr>
      <w:r>
        <w:t xml:space="preserve">Subtotal</w:t>
      </w:r>
      <w:r>
        <w:t xml:space="preserve"> </w:t>
      </w:r>
      <w:r>
        <w:t xml:space="preserve">$2,505.00</w:t>
      </w:r>
    </w:p>
    <w:p>
      <w:pPr>
        <w:pStyle w:val="BodyText"/>
      </w:pPr>
      <w:r>
        <w:t xml:space="preserve">GST (10%)</w:t>
      </w:r>
      <w:r>
        <w:t xml:space="preserve"> </w:t>
      </w:r>
      <w:r>
        <w:t xml:space="preserve">$250.50</w:t>
      </w:r>
    </w:p>
    <w:p>
      <w:pPr>
        <w:pStyle w:val="BodyText"/>
      </w:pPr>
      <w:r>
        <w:t xml:space="preserve">Health Fund Rebate (Estimated)</w:t>
      </w:r>
      <w:r>
        <w:t xml:space="preserve"> </w:t>
      </w:r>
      <w:r>
        <w:t xml:space="preserve">-$450.00</w:t>
      </w:r>
    </w:p>
    <w:p>
      <w:pPr>
        <w:pStyle w:val="BodyText"/>
      </w:pPr>
      <w:r>
        <w:t xml:space="preserve">Total Due (AUD)</w:t>
      </w:r>
      <w:r>
        <w:t xml:space="preserve"> </w:t>
      </w:r>
      <w:r>
        <w:t xml:space="preserve">$2,305.50</w:t>
      </w:r>
    </w:p>
    <w:bookmarkStart w:id="23" w:name="payment-instructions-and-terms"/>
    <w:p>
      <w:pPr>
        <w:pStyle w:val="Heading4"/>
      </w:pPr>
      <w:r>
        <w:t xml:space="preserve">Payment Instructions and Terms</w:t>
      </w:r>
    </w:p>
    <w:p>
      <w:pPr>
        <w:pStyle w:val="FirstParagraph"/>
      </w:pPr>
      <w:r>
        <w:t xml:space="preserve">Thank you for choosing Melbourne City Dental for your oral healthcare needs. This invoice reflects the services rendered during your recent visit. As per Australian tax regulations, Goods and Services Tax (GST) has been applied to all eligible items.</w:t>
      </w:r>
    </w:p>
    <w:p>
      <w:pPr>
        <w:pStyle w:val="BodyText"/>
      </w:pPr>
      <w:r>
        <w:rPr>
          <w:bCs/>
          <w:b/>
        </w:rPr>
        <w:t xml:space="preserve">Payment Methods:</w:t>
      </w:r>
      <w:r>
        <w:t xml:space="preserve"> </w:t>
      </w:r>
      <w:r>
        <w:t xml:space="preserve">We accept EFTPOS, Visa, Mastercard, American Express, and direct bank transfer. For bank transfers, please use the following details:</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Melbourne City Dental Pty Ltd</w:t>
      </w:r>
      <w:r>
        <w:br/>
      </w:r>
      <w:r>
        <w:rPr>
          <w:bCs/>
          <w:b/>
        </w:rPr>
        <w:t xml:space="preserve">Account Number:</w:t>
      </w:r>
      <w:r>
        <w:t xml:space="preserve"> </w:t>
      </w:r>
      <w:r>
        <w:t xml:space="preserve">12345678</w:t>
      </w:r>
      <w:r>
        <w:br/>
      </w:r>
      <w:r>
        <w:rPr>
          <w:bCs/>
          <w:b/>
        </w:rPr>
        <w:t xml:space="preserve">Reference:</w:t>
      </w:r>
      <w:r>
        <w:t xml:space="preserve"> </w:t>
      </w:r>
      <w:r>
        <w:t xml:space="preserve">INV-2023-8942</w:t>
      </w:r>
    </w:p>
    <w:p>
      <w:pPr>
        <w:pStyle w:val="BodyText"/>
      </w:pPr>
      <w:r>
        <w:rPr>
          <w:bCs/>
          <w:b/>
        </w:rPr>
        <w:t xml:space="preserve">Health Fund Rebates:</w:t>
      </w:r>
      <w:r>
        <w:t xml:space="preserve"> </w:t>
      </w:r>
      <w:r>
        <w:t xml:space="preserve">If you have private health insurance, you may be eligible for a rebate. We can process this directly at the time of treatment if you provide your membership card, or you can claim it directly from your fund. The estimated rebate shown above is for informational purposes only and is subject to your specific policy limits.</w:t>
      </w:r>
    </w:p>
    <w:p>
      <w:pPr>
        <w:pStyle w:val="BodyText"/>
      </w:pPr>
      <w:r>
        <w:rPr>
          <w:bCs/>
          <w:b/>
        </w:rPr>
        <w:t xml:space="preserve">Due Date:</w:t>
      </w:r>
      <w:r>
        <w:t xml:space="preserve"> </w:t>
      </w:r>
      <w:r>
        <w:t xml:space="preserve">Payment is due within 30 days of the invoice date. Late payments may incur a 2% monthly interest charge in accordance with Victorian consumer law. Please contact our office if you require a payment plan or have any questions regarding this invoice.</w:t>
      </w:r>
    </w:p>
    <w:p>
      <w:pPr>
        <w:pStyle w:val="BodyText"/>
      </w:pPr>
      <w:r>
        <w:rPr>
          <w:bCs/>
          <w:b/>
        </w:rPr>
        <w:t xml:space="preserve">Next Appointment:</w:t>
      </w:r>
      <w:r>
        <w:t xml:space="preserve"> </w:t>
      </w:r>
      <w:r>
        <w:t xml:space="preserve">Please schedule your follow-up visit for crown placement within the next two weeks. Call us at (03) 9123 4567 or book online at melbournecitydental.com.au.</w:t>
      </w:r>
    </w:p>
    <w:bookmarkEnd w:id="23"/>
    <w:p>
      <w:pPr>
        <w:pStyle w:val="BodyText"/>
      </w:pPr>
      <w:r>
        <w:t xml:space="preserve">Melbourne City Dental Pty Ltd | ABN: 12 345 678 901 | Level 4, 123 Collins Street, Melbourne VIC 3000, Australia</w:t>
      </w:r>
    </w:p>
    <w:p>
      <w:pPr>
        <w:pStyle w:val="BodyText"/>
      </w:pPr>
      <w:r>
        <w:t xml:space="preserve">This is a computer-generated invoice and does not require a signature. For queries, contact billing@melbournecitydental.com.au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Melbourne, Australia</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