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Nutrition</w:t>
      </w:r>
      <w:r>
        <w:t xml:space="preserve"> </w:t>
      </w:r>
      <w:r>
        <w:t xml:space="preserve">Services</w:t>
      </w:r>
    </w:p>
    <w:bookmarkStart w:id="20" w:name="dr.-helena-silva---clinical-nutrition"/>
    <w:p>
      <w:pPr>
        <w:pStyle w:val="Heading1"/>
      </w:pPr>
      <w:r>
        <w:t xml:space="preserve">Dr. Helena Silva - Clinical Nutrition</w:t>
      </w:r>
    </w:p>
    <w:p>
      <w:pPr>
        <w:pStyle w:val="FirstParagraph"/>
      </w:pPr>
      <w:r>
        <w:t xml:space="preserve">CRN-3: 12345-F (Rio de Janeiro)</w:t>
      </w:r>
    </w:p>
    <w:p>
      <w:pPr>
        <w:pStyle w:val="BodyText"/>
      </w:pPr>
      <w:r>
        <w:t xml:space="preserve">Av. Atlântica, 1702, Copacabana</w:t>
      </w:r>
    </w:p>
    <w:p>
      <w:pPr>
        <w:pStyle w:val="BodyText"/>
      </w:pPr>
      <w:r>
        <w:t xml:space="preserve">Rio de Janeiro, RJ - 22021-001, Brazil</w:t>
      </w:r>
    </w:p>
    <w:p>
      <w:pPr>
        <w:pStyle w:val="BodyText"/>
      </w:pPr>
      <w:r>
        <w:t xml:space="preserve">CNPJ: 12.345.678/0001-90</w:t>
      </w:r>
    </w:p>
    <w:p>
      <w:pPr>
        <w:pStyle w:val="BodyText"/>
      </w:pPr>
      <w:r>
        <w:t xml:space="preserve">Email: billing@drsilvanutricao.com.br</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Mr. Roberto Mendes</w:t>
      </w:r>
    </w:p>
    <w:p>
      <w:pPr>
        <w:pStyle w:val="BodyText"/>
      </w:pPr>
      <w:r>
        <w:t xml:space="preserve">Leblon Health Club</w:t>
      </w:r>
    </w:p>
    <w:p>
      <w:pPr>
        <w:pStyle w:val="BodyText"/>
      </w:pPr>
      <w:r>
        <w:t xml:space="preserve">Rua Visconde de Pirajá, 550</w:t>
      </w:r>
    </w:p>
    <w:p>
      <w:pPr>
        <w:pStyle w:val="BodyText"/>
      </w:pPr>
      <w:r>
        <w:t xml:space="preserve">Leblon, Rio de Janeiro, RJ - 22410-002</w:t>
      </w:r>
    </w:p>
    <w:p>
      <w:pPr>
        <w:pStyle w:val="BodyText"/>
      </w:pPr>
      <w:r>
        <w:t xml:space="preserve">CPF: 123.456.789-00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#INV-2023-10-042</w:t>
      </w:r>
    </w:p>
    <w:p>
      <w:pPr>
        <w:pStyle w:val="BodyText"/>
      </w:pPr>
      <w:r>
        <w:rPr>
          <w:bCs/>
          <w:b/>
        </w:rPr>
        <w:t xml:space="preserve">Service Period:</w:t>
      </w:r>
      <w:r>
        <w:t xml:space="preserve"> </w:t>
      </w:r>
      <w:r>
        <w:t xml:space="preserve">October 01, 2023 - October 31, 2023</w:t>
      </w:r>
    </w:p>
    <w:p>
      <w:pPr>
        <w:pStyle w:val="BodyText"/>
      </w:pPr>
      <w:r>
        <w:rPr>
          <w:bCs/>
          <w:b/>
        </w:rPr>
        <w:t xml:space="preserve">Payment Method:</w:t>
      </w:r>
      <w:r>
        <w:t xml:space="preserve"> </w:t>
      </w:r>
      <w:r>
        <w:t xml:space="preserve">PIX / Bank Transfer</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rPr>
                <w:bCs/>
                <w:b/>
              </w:rPr>
              <w:t xml:space="preserve">Initial Clinical Nutritional Assessment</w:t>
            </w:r>
            <w:r>
              <w:br/>
            </w:r>
            <w:r>
              <w:t xml:space="preserve">Comprehensive evaluation including anthropometric measurements, body composition analysis via bioimpedance, and detailed dietary history interview conducted at the Copacabana clinic.</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r>
        <w:tc>
          <w:tcPr/>
          <w:p>
            <w:pPr>
              <w:pStyle w:val="Compact"/>
              <w:jc w:val="left"/>
            </w:pPr>
            <w:r>
              <w:rPr>
                <w:bCs/>
                <w:b/>
              </w:rPr>
              <w:t xml:space="preserve">Personalized Nutritional Plan Development</w:t>
            </w:r>
            <w:r>
              <w:br/>
            </w:r>
            <w:r>
              <w:t xml:space="preserve">Creation of a customized meal plan tailored to the client's metabolic needs, lifestyle in Rio de Janeiro, and specific health goals, including macronutrient calculation and food exchange lists.</w:t>
            </w:r>
          </w:p>
        </w:tc>
        <w:tc>
          <w:tcPr/>
          <w:p>
            <w:pPr>
              <w:pStyle w:val="Compact"/>
              <w:jc w:val="left"/>
            </w:pPr>
            <w:r>
              <w:t xml:space="preserve">1</w:t>
            </w:r>
          </w:p>
        </w:tc>
        <w:tc>
          <w:tcPr/>
          <w:p>
            <w:pPr>
              <w:pStyle w:val="Compact"/>
              <w:jc w:val="left"/>
            </w:pPr>
            <w:r>
              <w:t xml:space="preserve">R$ 250,00</w:t>
            </w:r>
          </w:p>
        </w:tc>
        <w:tc>
          <w:tcPr/>
          <w:p>
            <w:pPr>
              <w:pStyle w:val="Compact"/>
              <w:jc w:val="left"/>
            </w:pPr>
            <w:r>
              <w:t xml:space="preserve">R$ 250,00</w:t>
            </w:r>
          </w:p>
        </w:tc>
      </w:tr>
      <w:tr>
        <w:tc>
          <w:tcPr/>
          <w:p>
            <w:pPr>
              <w:pStyle w:val="Compact"/>
              <w:jc w:val="left"/>
            </w:pPr>
            <w:r>
              <w:rPr>
                <w:bCs/>
                <w:b/>
              </w:rPr>
              <w:t xml:space="preserve">Follow-up Consultation (Monthly)</w:t>
            </w:r>
            <w:r>
              <w:br/>
            </w:r>
            <w:r>
              <w:t xml:space="preserve">One-hour session to monitor progress, adjust caloric intake, review food logs, and provide behavioral counseling to ensure adherence to the nutritional protocol.</w:t>
            </w:r>
          </w:p>
        </w:tc>
        <w:tc>
          <w:tcPr/>
          <w:p>
            <w:pPr>
              <w:pStyle w:val="Compact"/>
              <w:jc w:val="left"/>
            </w:pPr>
            <w:r>
              <w:t xml:space="preserve">2</w:t>
            </w:r>
          </w:p>
        </w:tc>
        <w:tc>
          <w:tcPr/>
          <w:p>
            <w:pPr>
              <w:pStyle w:val="Compact"/>
              <w:jc w:val="left"/>
            </w:pPr>
            <w:r>
              <w:t xml:space="preserve">R$ 200,00</w:t>
            </w:r>
          </w:p>
        </w:tc>
        <w:tc>
          <w:tcPr/>
          <w:p>
            <w:pPr>
              <w:pStyle w:val="Compact"/>
              <w:jc w:val="left"/>
            </w:pPr>
            <w:r>
              <w:t xml:space="preserve">R$ 400,00</w:t>
            </w:r>
          </w:p>
        </w:tc>
      </w:tr>
      <w:tr>
        <w:tc>
          <w:tcPr/>
          <w:p>
            <w:pPr>
              <w:pStyle w:val="Compact"/>
              <w:jc w:val="left"/>
            </w:pPr>
            <w:r>
              <w:rPr>
                <w:bCs/>
                <w:b/>
              </w:rPr>
              <w:t xml:space="preserve">Supplementation Protocol</w:t>
            </w:r>
            <w:r>
              <w:br/>
            </w:r>
            <w:r>
              <w:t xml:space="preserve">Prescription and guidance on the use of dietary supplements to support muscle recovery and metabolic health, compliant with ANVISA regulations.</w:t>
            </w:r>
          </w:p>
        </w:tc>
        <w:tc>
          <w:tcPr/>
          <w:p>
            <w:pPr>
              <w:pStyle w:val="Compact"/>
              <w:jc w:val="left"/>
            </w:pPr>
            <w:r>
              <w:t xml:space="preserve">1</w:t>
            </w:r>
          </w:p>
        </w:tc>
        <w:tc>
          <w:tcPr/>
          <w:p>
            <w:pPr>
              <w:pStyle w:val="Compact"/>
              <w:jc w:val="left"/>
            </w:pPr>
            <w:r>
              <w:t xml:space="preserve">R$ 150,00</w:t>
            </w:r>
          </w:p>
        </w:tc>
        <w:tc>
          <w:tcPr/>
          <w:p>
            <w:pPr>
              <w:pStyle w:val="Compact"/>
              <w:jc w:val="left"/>
            </w:pPr>
            <w:r>
              <w:t xml:space="preserve">R$ 150,00</w:t>
            </w:r>
          </w:p>
        </w:tc>
      </w:tr>
    </w:tbl>
    <w:p>
      <w:pPr>
        <w:pStyle w:val="BodyText"/>
      </w:pPr>
      <w:r>
        <w:t xml:space="preserve">Subtotal</w:t>
      </w:r>
      <w:r>
        <w:t xml:space="preserve"> </w:t>
      </w:r>
      <w:r>
        <w:t xml:space="preserve">R$ 1,150,00</w:t>
      </w:r>
    </w:p>
    <w:p>
      <w:pPr>
        <w:pStyle w:val="BodyText"/>
      </w:pPr>
      <w:r>
        <w:t xml:space="preserve">Discount</w:t>
      </w:r>
      <w:r>
        <w:t xml:space="preserve"> </w:t>
      </w:r>
      <w:r>
        <w:t xml:space="preserve">R$ 0,00</w:t>
      </w:r>
    </w:p>
    <w:p>
      <w:pPr>
        <w:pStyle w:val="BodyText"/>
      </w:pPr>
      <w:r>
        <w:t xml:space="preserve">TOTAL DUE</w:t>
      </w:r>
      <w:r>
        <w:t xml:space="preserve"> </w:t>
      </w:r>
      <w:r>
        <w:t xml:space="preserve">R$ 1,150,00</w:t>
      </w:r>
    </w:p>
    <w:bookmarkStart w:id="24" w:name="payment-instructions"/>
    <w:p>
      <w:pPr>
        <w:pStyle w:val="Heading3"/>
      </w:pPr>
      <w:r>
        <w:t xml:space="preserve">Payment Instructions</w:t>
      </w:r>
    </w:p>
    <w:p>
      <w:pPr>
        <w:pStyle w:val="FirstParagraph"/>
      </w:pPr>
      <w:r>
        <w:t xml:space="preserve">Please transfer the total amount to the following bank account:</w:t>
      </w:r>
    </w:p>
    <w:p>
      <w:pPr>
        <w:pStyle w:val="BodyText"/>
      </w:pPr>
      <w:r>
        <w:rPr>
          <w:bCs/>
          <w:b/>
        </w:rPr>
        <w:t xml:space="preserve">Bank:</w:t>
      </w:r>
      <w:r>
        <w:t xml:space="preserve"> </w:t>
      </w:r>
      <w:r>
        <w:t xml:space="preserve">Banco do Brasil</w:t>
      </w:r>
      <w:r>
        <w:br/>
      </w:r>
      <w:r>
        <w:rPr>
          <w:bCs/>
          <w:b/>
        </w:rPr>
        <w:t xml:space="preserve">Agency:</w:t>
      </w:r>
      <w:r>
        <w:t xml:space="preserve"> </w:t>
      </w:r>
      <w:r>
        <w:t xml:space="preserve">1234-5</w:t>
      </w:r>
      <w:r>
        <w:br/>
      </w:r>
      <w:r>
        <w:rPr>
          <w:bCs/>
          <w:b/>
        </w:rPr>
        <w:t xml:space="preserve">Account:</w:t>
      </w:r>
      <w:r>
        <w:t xml:space="preserve"> </w:t>
      </w:r>
      <w:r>
        <w:t xml:space="preserve">98765-4</w:t>
      </w:r>
      <w:r>
        <w:br/>
      </w:r>
      <w:r>
        <w:rPr>
          <w:bCs/>
          <w:b/>
        </w:rPr>
        <w:t xml:space="preserve">Account Holder:</w:t>
      </w:r>
      <w:r>
        <w:t xml:space="preserve"> </w:t>
      </w:r>
      <w:r>
        <w:t xml:space="preserve">Helena Silva Nutricionista</w:t>
      </w:r>
      <w:r>
        <w:br/>
      </w:r>
      <w:r>
        <w:rPr>
          <w:bCs/>
          <w:b/>
        </w:rPr>
        <w:t xml:space="preserve">PIX Key:</w:t>
      </w:r>
      <w:r>
        <w:t xml:space="preserve"> </w:t>
      </w:r>
      <w:r>
        <w:t xml:space="preserve">billing@drsilvanutricao.com.br</w:t>
      </w:r>
    </w:p>
    <w:p>
      <w:pPr>
        <w:pStyle w:val="BodyText"/>
      </w:pPr>
      <w:r>
        <w:t xml:space="preserve">* Please include the Invoice Number (#INV-2023-10-042) in the payment description.</w:t>
      </w:r>
    </w:p>
    <w:bookmarkEnd w:id="24"/>
    <w:p>
      <w:pPr>
        <w:pStyle w:val="BodyText"/>
      </w:pPr>
      <w:r>
        <w:rPr>
          <w:bCs/>
          <w:b/>
        </w:rPr>
        <w:t xml:space="preserve">Terms and Conditions:</w:t>
      </w:r>
    </w:p>
    <w:p>
      <w:pPr>
        <w:pStyle w:val="BodyText"/>
      </w:pPr>
      <w:r>
        <w:t xml:space="preserve">This invoice represents the professional fees for clinical nutrition services rendered by Dr. Helena Silva, a registered Dietitian with the Regional Council of Nutritionists (CRN-3) in the state of Rio de Janeiro, Brazil. All services were performed in accordance with the ethical code of the Brazilian Society of Nutrition and Dietetics. Payment is due within 15 days of the invoice date. Late payments may be subject to a 2% monthly interest penalty and a 2% administrative fine, as per Brazilian commercial law. This document serves as proof of payment for tax purposes and health insurance reimbursement claims where applicable. The nutritional advice provided is strictly for the named client and is not transferable. By accepting these services, the client acknowledges that results may vary based on individual adherence to the prescribed plan.</w:t>
      </w:r>
    </w:p>
    <w:p>
      <w:pPr>
        <w:pStyle w:val="BodyText"/>
      </w:pPr>
      <w:r>
        <w:rPr>
          <w:bCs/>
          <w:b/>
        </w:rPr>
        <w:t xml:space="preserve">Professional Disclaimer:</w:t>
      </w:r>
      <w:r>
        <w:t xml:space="preserve"> </w:t>
      </w:r>
      <w:r>
        <w:t xml:space="preserve">The information contained in this invoice and the associated nutritional plans is confidential. The Dietitian assumes no liability for adverse reactions resulting from the client's failure to follow the prescribed instructions or for pre-existing conditions not disclosed during the initial assessment in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Nutrition Services</dc:title>
  <dc:creator/>
  <dc:language>en</dc:language>
  <cp:keywords/>
  <dcterms:created xsi:type="dcterms:W3CDTF">2026-10-10T07:34:26Z</dcterms:created>
  <dcterms:modified xsi:type="dcterms:W3CDTF">2026-10-10T07:34:26Z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