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moscow-clinical-nutrition-wellness"/>
    <w:p>
      <w:pPr>
        <w:pStyle w:val="Heading1"/>
      </w:pPr>
      <w:r>
        <w:t xml:space="preserve">Moscow Clinical Nutrition &amp; Wellness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Elena Volkova, Ph.D., RDN</w:t>
      </w:r>
    </w:p>
    <w:p>
      <w:pPr>
        <w:pStyle w:val="BodyText"/>
      </w:pPr>
      <w:r>
        <w:t xml:space="preserve">12/4 Tverskaya Street, Building 3, Office 405</w:t>
      </w:r>
    </w:p>
    <w:p>
      <w:pPr>
        <w:pStyle w:val="BodyText"/>
      </w:pPr>
      <w:r>
        <w:t xml:space="preserve">Moscow, Central Administrative Okrug, 125009</w:t>
      </w:r>
    </w:p>
    <w:p>
      <w:pPr>
        <w:pStyle w:val="BodyText"/>
      </w:pPr>
      <w:r>
        <w:t xml:space="preserve">Russia</w:t>
      </w:r>
    </w:p>
    <w:p>
      <w:pPr>
        <w:pStyle w:val="BodyText"/>
      </w:pPr>
      <w:r>
        <w:t xml:space="preserve">Email: billing@moscowclinicalnutrition.ru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INN (Tax ID): 7701234567 | KPP: 770101001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Alexei Petrov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Petrov Private Holdings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Kutuzovsky Avenue, Apt 12</w:t>
      </w:r>
    </w:p>
    <w:p>
      <w:pPr>
        <w:pStyle w:val="BodyText"/>
      </w:pPr>
      <w:r>
        <w:t xml:space="preserve">Moscow, 121248, Russia</w:t>
      </w:r>
    </w:p>
    <w:p>
      <w:pPr>
        <w:pStyle w:val="BodyText"/>
      </w:pPr>
      <w:r>
        <w:rPr>
          <w:bCs/>
          <w:b/>
        </w:rPr>
        <w:t xml:space="preserve">Contact Email:</w:t>
      </w:r>
      <w:r>
        <w:t xml:space="preserve"> </w:t>
      </w:r>
      <w:r>
        <w:t xml:space="preserve">a.petrov@example.com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Moscow Clinical Nutrition &amp; Wellness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40702810000000001234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</w:p>
    <w:p>
      <w:pPr>
        <w:pStyle w:val="BodyText"/>
      </w:pPr>
      <w:r>
        <w:rPr>
          <w:bCs/>
          <w:b/>
        </w:rPr>
        <w:t xml:space="preserve">SWIFT:</w:t>
      </w:r>
      <w:r>
        <w:t xml:space="preserve"> </w:t>
      </w:r>
      <w:r>
        <w:t xml:space="preserve">SABRRUMM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analysis of medical history, current dietary habits, and lifestyle factors specific to the Moscow metropolitan environment. Includes review of recent blood work and metabolic markers.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Clinical Meal Planning</w:t>
            </w:r>
            <w:r>
              <w:br/>
            </w:r>
            <w:r>
              <w:t xml:space="preserve">Development of a 4-week therapeutic diet plan tailored to client's specific health goals, accounting for local seasonal produce availability in Russia and cultural dietary preferences.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Monitoring</w:t>
            </w:r>
            <w:r>
              <w:br/>
            </w:r>
            <w:r>
              <w:t xml:space="preserve">Bi-weekly video consultations to monitor adherence, adjust caloric intake, and address any nutritional deficiencies. Includes remote support via secure messaging.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Protocol Analysis</w:t>
            </w:r>
            <w:r>
              <w:br/>
            </w:r>
            <w:r>
              <w:t xml:space="preserve">Evaluation of current vitamin and mineral supplementation regimen. Recommendations for adjustments based on Russian Federation pharmacopeia standards and individual lab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Wellness Workshop (Moscow Office)</w:t>
            </w:r>
            <w:r>
              <w:br/>
            </w:r>
            <w:r>
              <w:t xml:space="preserve">One-time on-site presentation for client's staff regarding healthy eating habits, stress management through nutrition, and practical tips for maintaining wellness in a busy urban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91,500.00 RUB</w:t>
      </w:r>
    </w:p>
    <w:p>
      <w:pPr>
        <w:pStyle w:val="BodyText"/>
      </w:pPr>
      <w:r>
        <w:t xml:space="preserve">VAT (Value Added Tax) 20%:</w:t>
      </w:r>
      <w:r>
        <w:t xml:space="preserve"> </w:t>
      </w:r>
      <w:r>
        <w:t xml:space="preserve">18,300.00 RUB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-4,575.00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105,225.00 RUB</w:t>
      </w:r>
    </w:p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0.1% per day as per Russian Civil Code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Russian Rubles (RUB). Payments made in foreign currency will be converted at the Central Bank of Russia exchange rate on the date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The services provided by our Dietitian are for nutritional guidance and wellness support. They do not constitute medical diagnosis or treatment of acute medical conditions unless explicitly stated in a separate medical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All personal health information and dietary data provided by the client will be handled in strict accordance with Federal Law No. 152-FZ "On Personal Data" of the Russian Federation.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Consultation Cancellation:</w:t>
      </w:r>
      <w:r>
        <w:t xml:space="preserve"> </w:t>
      </w:r>
      <w:r>
        <w:t xml:space="preserve">Appointments must be cancelled at least 24 hours in advance. Late cancellations or no-shows will be charged at 50% of the session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 or the services rendered by our Dietitian team in Moscow, please contact our billing department at the email or phone number listed above.</w:t>
      </w:r>
    </w:p>
    <w:bookmarkEnd w:id="24"/>
    <w:p>
      <w:pPr>
        <w:pStyle w:val="FirstParagraph"/>
      </w:pPr>
      <w:r>
        <w:t xml:space="preserve">Thank you for choosing Moscow Clinical Nutrition &amp; Wellness for your dietary needs.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Moscow Clinical Nutrition &amp; Wellness.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Moscow, Russia</dc:title>
  <dc:creator/>
  <dc:language>en</dc:language>
  <cp:keywords/>
  <dcterms:created xsi:type="dcterms:W3CDTF">2026-10-10T06:23:18Z</dcterms:created>
  <dcterms:modified xsi:type="dcterms:W3CDTF">2026-10-10T06:23:18Z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