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Dubai,</w:t>
      </w:r>
      <w:r>
        <w:t xml:space="preserve"> </w:t>
      </w:r>
      <w:r>
        <w:t xml:space="preserve">UAE</w:t>
      </w:r>
    </w:p>
    <w:bookmarkStart w:id="20" w:name="nutrilife-clinical-dietetics"/>
    <w:p>
      <w:pPr>
        <w:pStyle w:val="Heading1"/>
      </w:pPr>
      <w:r>
        <w:t xml:space="preserve">NutriLife Clinical Dietetics</w:t>
      </w:r>
    </w:p>
    <w:p>
      <w:pPr>
        <w:pStyle w:val="FirstParagraph"/>
      </w:pPr>
      <w:r>
        <w:rPr>
          <w:bCs/>
          <w:b/>
        </w:rPr>
        <w:t xml:space="preserve">License No:</w:t>
      </w:r>
      <w:r>
        <w:t xml:space="preserve"> </w:t>
      </w:r>
      <w:r>
        <w:t xml:space="preserve">DHA-CLIN-2023-8842</w:t>
      </w:r>
    </w:p>
    <w:p>
      <w:pPr>
        <w:pStyle w:val="BodyText"/>
      </w:pPr>
      <w:r>
        <w:rPr>
          <w:bCs/>
          <w:b/>
        </w:rPr>
        <w:t xml:space="preserve">Trade License:</w:t>
      </w:r>
      <w:r>
        <w:t xml:space="preserve"> </w:t>
      </w:r>
      <w:r>
        <w:t xml:space="preserve">DE-1928374</w:t>
      </w:r>
    </w:p>
    <w:p>
      <w:pPr>
        <w:pStyle w:val="BodyText"/>
      </w:pPr>
      <w:r>
        <w:t xml:space="preserve">Office 405, Health Tower, Business Bay</w:t>
      </w:r>
    </w:p>
    <w:p>
      <w:pPr>
        <w:pStyle w:val="BodyText"/>
      </w:pPr>
      <w:r>
        <w:t xml:space="preserve">Dubai, United Arab Emirates</w:t>
      </w:r>
    </w:p>
    <w:p>
      <w:pPr>
        <w:pStyle w:val="BodyText"/>
      </w:pPr>
      <w:r>
        <w:t xml:space="preserve">Email: billing@nutrilife-dubai.ae</w:t>
      </w:r>
    </w:p>
    <w:p>
      <w:pPr>
        <w:pStyle w:val="BodyText"/>
      </w:pPr>
      <w:r>
        <w:t xml:space="preserve">Phone: +971 4 555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INV-DXB-2023-1045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Al Futtaim Wellness Center</w:t>
      </w:r>
    </w:p>
    <w:p>
      <w:pPr>
        <w:pStyle w:val="BodyText"/>
      </w:pPr>
      <w:r>
        <w:t xml:space="preserve">Attn: Procurement Department</w:t>
      </w:r>
    </w:p>
    <w:p>
      <w:pPr>
        <w:pStyle w:val="BodyText"/>
      </w:pPr>
      <w:r>
        <w:t xml:space="preserve">P.O. Box 12345</w:t>
      </w:r>
    </w:p>
    <w:p>
      <w:pPr>
        <w:pStyle w:val="BodyText"/>
      </w:pPr>
      <w:r>
        <w:t xml:space="preserve">Dubai, United Arab Emirates</w:t>
      </w:r>
    </w:p>
    <w:p>
      <w:pPr>
        <w:pStyle w:val="BodyText"/>
      </w:pPr>
      <w:r>
        <w:rPr>
          <w:bCs/>
          <w:b/>
        </w:rPr>
        <w:t xml:space="preserve">VAT Registration:</w:t>
      </w:r>
      <w:r>
        <w:t xml:space="preserve"> </w:t>
      </w:r>
      <w:r>
        <w:t xml:space="preserve">AE 100 234 567 8000</w:t>
      </w:r>
    </w:p>
    <w:bookmarkEnd w:id="22"/>
    <w:bookmarkStart w:id="23" w:name="service-location"/>
    <w:p>
      <w:pPr>
        <w:pStyle w:val="Heading3"/>
      </w:pPr>
      <w:r>
        <w:t xml:space="preserve">Service Location:</w:t>
      </w:r>
    </w:p>
    <w:p>
      <w:pPr>
        <w:pStyle w:val="FirstParagraph"/>
      </w:pPr>
      <w:r>
        <w:t xml:space="preserve">Al Futtaim Wellness Center</w:t>
      </w:r>
    </w:p>
    <w:p>
      <w:pPr>
        <w:pStyle w:val="BodyText"/>
      </w:pPr>
      <w:r>
        <w:t xml:space="preserve">Ground Floor, Medical Wing</w:t>
      </w:r>
    </w:p>
    <w:p>
      <w:pPr>
        <w:pStyle w:val="BodyText"/>
      </w:pPr>
      <w:r>
        <w:t xml:space="preserve">Jumeirah Lake Towers (JLT)</w:t>
      </w:r>
    </w:p>
    <w:p>
      <w:pPr>
        <w:pStyle w:val="BodyText"/>
      </w:pPr>
      <w:r>
        <w:t xml:space="preserve">Dubai, United Arab Emirates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Hours/Qty</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Comprehensive Clinical Nutrition Assessment</w:t>
            </w:r>
            <w:r>
              <w:br/>
            </w:r>
            <w:r>
              <w:t xml:space="preserve">Initial consultation and metabolic analysis for corporate wellness program participants. Includes body composition analysis, dietary history review, and risk factor evaluation compliant with Dubai Health Authority (DHA) standards.</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175.00</w:t>
            </w:r>
          </w:p>
        </w:tc>
      </w:tr>
      <w:tr>
        <w:tc>
          <w:tcPr/>
          <w:p>
            <w:pPr>
              <w:pStyle w:val="Compact"/>
              <w:jc w:val="left"/>
            </w:pPr>
            <w:r>
              <w:t xml:space="preserve">2</w:t>
            </w:r>
          </w:p>
        </w:tc>
        <w:tc>
          <w:tcPr/>
          <w:p>
            <w:pPr>
              <w:pStyle w:val="Compact"/>
              <w:jc w:val="left"/>
            </w:pPr>
            <w:r>
              <w:rPr>
                <w:bCs/>
                <w:b/>
              </w:rPr>
              <w:t xml:space="preserve">Personalized Meal Planning &amp; Dietary Intervention</w:t>
            </w:r>
            <w:r>
              <w:br/>
            </w:r>
            <w:r>
              <w:t xml:space="preserve">Development of culturally appropriate, medically tailored meal plans for clients with Type 2 Diabetes and Hypertension. Plans adhere to UAE Ministry of Health guidelines and local dietary preferences.</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c>
          <w:tcPr/>
          <w:p>
            <w:pPr>
              <w:pStyle w:val="Compact"/>
              <w:jc w:val="left"/>
            </w:pPr>
            <w:r>
              <w:t xml:space="preserve">300.00</w:t>
            </w:r>
          </w:p>
        </w:tc>
      </w:tr>
      <w:tr>
        <w:tc>
          <w:tcPr/>
          <w:p>
            <w:pPr>
              <w:pStyle w:val="Compact"/>
              <w:jc w:val="left"/>
            </w:pPr>
            <w:r>
              <w:t xml:space="preserve">3</w:t>
            </w:r>
          </w:p>
        </w:tc>
        <w:tc>
          <w:tcPr/>
          <w:p>
            <w:pPr>
              <w:pStyle w:val="Compact"/>
              <w:jc w:val="left"/>
            </w:pPr>
            <w:r>
              <w:rPr>
                <w:bCs/>
                <w:b/>
              </w:rPr>
              <w:t xml:space="preserve">Group Educational Workshops</w:t>
            </w:r>
            <w:r>
              <w:br/>
            </w:r>
            <w:r>
              <w:t xml:space="preserve">Facilitation of three (3) interactive nutrition workshops on "Healthy Eating in the UAE Climate" and "Managing Weight During Ramadan." Includes preparation of visual aids and handouts.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180.00</w:t>
            </w:r>
          </w:p>
        </w:tc>
      </w:tr>
      <w:tr>
        <w:tc>
          <w:tcPr/>
          <w:p>
            <w:pPr>
              <w:pStyle w:val="Compact"/>
              <w:jc w:val="left"/>
            </w:pPr>
            <w:r>
              <w:t xml:space="preserve">4</w:t>
            </w:r>
          </w:p>
        </w:tc>
        <w:tc>
          <w:tcPr/>
          <w:p>
            <w:pPr>
              <w:pStyle w:val="Compact"/>
              <w:jc w:val="left"/>
            </w:pPr>
            <w:r>
              <w:rPr>
                <w:bCs/>
                <w:b/>
              </w:rPr>
              <w:t xml:space="preserve">Ongoing Patient Monitoring &amp; Follow-up</w:t>
            </w:r>
            <w:r>
              <w:br/>
            </w:r>
            <w:r>
              <w:t xml:space="preserve">Bi-weekly progress reviews for 20 patients enrolled in the weight management program. Includes adjustment of nutritional prescriptions based on clinical outcomes and patient feedback.</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Clinical Documentation &amp; Reporting</w:t>
            </w:r>
            <w:r>
              <w:br/>
            </w:r>
            <w:r>
              <w:t xml:space="preserve">Preparation of detailed clinical nutrition reports for referring physicians. Ensures accurate data entry into the facility's Electronic Health Record (EHR) system in accordance with UAE data privacy laws.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c>
          <w:tcPr/>
          <w:p>
            <w:pPr>
              <w:pStyle w:val="Compact"/>
              <w:jc w:val="left"/>
            </w:pPr>
            <w:r>
              <w:t xml:space="preserve">75.00</w:t>
            </w:r>
          </w:p>
        </w:tc>
      </w:tr>
    </w:tbl>
    <w:p>
      <w:pPr>
        <w:pStyle w:val="BodyText"/>
      </w:pPr>
      <w:r>
        <w:t xml:space="preserve">Subtotal:</w:t>
      </w:r>
      <w:r>
        <w:t xml:space="preserve"> </w:t>
      </w:r>
      <w:r>
        <w:t xml:space="preserve">19,600.00 AED</w:t>
      </w:r>
    </w:p>
    <w:p>
      <w:pPr>
        <w:pStyle w:val="BodyText"/>
      </w:pPr>
      <w:r>
        <w:t xml:space="preserve">VAT (5%):</w:t>
      </w:r>
      <w:r>
        <w:t xml:space="preserve"> </w:t>
      </w:r>
      <w:r>
        <w:t xml:space="preserve">980.00 AED</w:t>
      </w:r>
    </w:p>
    <w:p>
      <w:pPr>
        <w:pStyle w:val="BodyText"/>
      </w:pPr>
      <w:r>
        <w:t xml:space="preserve">Discount (Early Payment):</w:t>
      </w:r>
      <w:r>
        <w:t xml:space="preserve"> </w:t>
      </w:r>
      <w:r>
        <w:t xml:space="preserve">-0.00 AED</w:t>
      </w:r>
    </w:p>
    <w:p>
      <w:pPr>
        <w:pStyle w:val="BodyText"/>
      </w:pPr>
      <w:r>
        <w:t xml:space="preserve">TOTAL DUE:</w:t>
      </w:r>
      <w:r>
        <w:t xml:space="preserve"> </w:t>
      </w:r>
      <w:r>
        <w:t xml:space="preserve">20,580.00 AED</w:t>
      </w:r>
    </w:p>
    <w:bookmarkStart w:id="24" w:name="important-terms-and-conditions"/>
    <w:p>
      <w:pPr>
        <w:pStyle w:val="Heading4"/>
      </w:pPr>
      <w:r>
        <w:t xml:space="preserve">Important Terms and Conditions</w:t>
      </w:r>
    </w:p>
    <w:p>
      <w:pPr>
        <w:pStyle w:val="FirstParagraph"/>
      </w:pPr>
      <w:r>
        <w:rPr>
          <w:bCs/>
          <w:b/>
        </w:rPr>
        <w:t xml:space="preserve">1. Payment Instructions:</w:t>
      </w:r>
      <w:r>
        <w:t xml:space="preserve"> </w:t>
      </w:r>
      <w:r>
        <w:t xml:space="preserve">Please remit payment via bank transfer to the following account within 14 days of the invoice date. Late payments may incur a penalty of 1% per month as per UAE commercial regulations.</w:t>
      </w:r>
    </w:p>
    <w:p>
      <w:pPr>
        <w:numPr>
          <w:ilvl w:val="0"/>
          <w:numId w:val="1001"/>
        </w:numPr>
        <w:pStyle w:val="Compact"/>
      </w:pPr>
      <w:r>
        <w:rPr>
          <w:bCs/>
          <w:b/>
        </w:rPr>
        <w:t xml:space="preserve">Bank Name:</w:t>
      </w:r>
      <w:r>
        <w:t xml:space="preserve"> </w:t>
      </w:r>
      <w:r>
        <w:t xml:space="preserve">Emirates NBD</w:t>
      </w:r>
    </w:p>
    <w:p>
      <w:pPr>
        <w:numPr>
          <w:ilvl w:val="0"/>
          <w:numId w:val="1001"/>
        </w:numPr>
        <w:pStyle w:val="Compact"/>
      </w:pPr>
      <w:r>
        <w:rPr>
          <w:bCs/>
          <w:b/>
        </w:rPr>
        <w:t xml:space="preserve">Account Name:</w:t>
      </w:r>
      <w:r>
        <w:t xml:space="preserve"> </w:t>
      </w:r>
      <w:r>
        <w:t xml:space="preserve">NutriLife Clinical Dietetics LLC</w:t>
      </w:r>
    </w:p>
    <w:p>
      <w:pPr>
        <w:numPr>
          <w:ilvl w:val="0"/>
          <w:numId w:val="1001"/>
        </w:numPr>
        <w:pStyle w:val="Compact"/>
      </w:pPr>
      <w:r>
        <w:rPr>
          <w:bCs/>
          <w:b/>
        </w:rPr>
        <w:t xml:space="preserve">IBAN:</w:t>
      </w:r>
      <w:r>
        <w:t xml:space="preserve"> </w:t>
      </w:r>
      <w:r>
        <w:t xml:space="preserve">AE07 0331 2345 6789 0123 456</w:t>
      </w:r>
    </w:p>
    <w:p>
      <w:pPr>
        <w:numPr>
          <w:ilvl w:val="0"/>
          <w:numId w:val="1001"/>
        </w:numPr>
        <w:pStyle w:val="Compact"/>
      </w:pPr>
      <w:r>
        <w:rPr>
          <w:bCs/>
          <w:b/>
        </w:rPr>
        <w:t xml:space="preserve">SWIFT Code:</w:t>
      </w:r>
      <w:r>
        <w:t xml:space="preserve"> </w:t>
      </w:r>
      <w:r>
        <w:t xml:space="preserve">EBILAEAD</w:t>
      </w:r>
    </w:p>
    <w:p>
      <w:pPr>
        <w:pStyle w:val="FirstParagraph"/>
      </w:pPr>
      <w:r>
        <w:rPr>
          <w:bCs/>
          <w:b/>
        </w:rPr>
        <w:t xml:space="preserve">2. VAT Compliance:</w:t>
      </w:r>
      <w:r>
        <w:t xml:space="preserve"> </w:t>
      </w:r>
      <w:r>
        <w:t xml:space="preserve">This invoice is issued in accordance with the Federal Decree-Law No. (8) of 2017 on Value Added Tax in the United Arab Emirates. The VAT rate applied is 5%. Please quote our Tax Registration Number (TRN) on your payment remittance advice.</w:t>
      </w:r>
    </w:p>
    <w:p>
      <w:pPr>
        <w:pStyle w:val="BodyText"/>
      </w:pPr>
      <w:r>
        <w:rPr>
          <w:bCs/>
          <w:b/>
        </w:rPr>
        <w:t xml:space="preserve">3. Scope of Services:</w:t>
      </w:r>
      <w:r>
        <w:t xml:space="preserve"> </w:t>
      </w:r>
      <w:r>
        <w:t xml:space="preserve">All dietitian services provided are based on the latest clinical nutrition guidelines approved by the Dubai Health Authority (DHA). The Dietitian reserves the right to modify treatment plans based on evolving patient health conditions.</w:t>
      </w:r>
    </w:p>
    <w:p>
      <w:pPr>
        <w:pStyle w:val="BodyText"/>
      </w:pPr>
      <w:r>
        <w:rPr>
          <w:bCs/>
          <w:b/>
        </w:rPr>
        <w:t xml:space="preserve">4. Disputes:</w:t>
      </w:r>
      <w:r>
        <w:t xml:space="preserve"> </w:t>
      </w:r>
      <w:r>
        <w:t xml:space="preserve">Any discrepancies regarding this invoice must be reported in writing within 7 days of receipt. Failure to do so will result in the invoice being considered accepted.</w:t>
      </w:r>
    </w:p>
    <w:p>
      <w:pPr>
        <w:pStyle w:val="BodyText"/>
      </w:pPr>
      <w:r>
        <w:rPr>
          <w:bCs/>
          <w:b/>
        </w:rPr>
        <w:t xml:space="preserve">5. Confidentiality:</w:t>
      </w:r>
      <w:r>
        <w:t xml:space="preserve"> </w:t>
      </w:r>
      <w:r>
        <w:t xml:space="preserve">All patient data and clinical information shared during these services are strictly confidential and protected under UAE healthcare privacy laws.</w:t>
      </w:r>
    </w:p>
    <w:bookmarkEnd w:id="24"/>
    <w:p>
      <w:pPr>
        <w:pStyle w:val="BodyText"/>
      </w:pPr>
      <w:r>
        <w:t xml:space="preserve">Thank you for choosing NutriLife Clinical Dietetics for your healthcare needs in Dubai.</w:t>
      </w:r>
    </w:p>
    <w:p>
      <w:pPr>
        <w:pStyle w:val="BodyText"/>
      </w:pPr>
      <w:r>
        <w:t xml:space="preserve">This is a computer-generated invoice and does not require a physical signature.</w:t>
      </w:r>
    </w:p>
    <w:p>
      <w:pPr>
        <w:pStyle w:val="BodyText"/>
      </w:pPr>
      <w:r>
        <w:t xml:space="preserve">© 2023 NutriLife Clinical Dietetics LLC. All Rights Reserved.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Dubai, UAE</dc:title>
  <dc:creator/>
  <dc:language>en</dc:language>
  <cp:keywords/>
  <dcterms:created xsi:type="dcterms:W3CDTF">2026-10-10T14:24:34Z</dcterms:created>
  <dcterms:modified xsi:type="dcterms:W3CDTF">2026-10-10T14:24:34Z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