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General</w:t>
      </w:r>
      <w:r>
        <w:t xml:space="preserve"> </w:t>
      </w:r>
      <w:r>
        <w:t xml:space="preserve">Practitioner</w:t>
      </w:r>
      <w:r>
        <w:t xml:space="preserve"> </w:t>
      </w:r>
      <w:r>
        <w:t xml:space="preserve">-</w:t>
      </w:r>
      <w:r>
        <w:t xml:space="preserve"> </w:t>
      </w:r>
      <w:r>
        <w:t xml:space="preserve">Marseille,</w:t>
      </w:r>
      <w:r>
        <w:t xml:space="preserve"> </w:t>
      </w:r>
      <w:r>
        <w:t xml:space="preserve">France</w:t>
      </w:r>
    </w:p>
    <w:bookmarkStart w:id="21" w:name="dr.-jean-pierre-moreau"/>
    <w:p>
      <w:pPr>
        <w:pStyle w:val="Heading1"/>
      </w:pPr>
      <w:r>
        <w:t xml:space="preserve">Dr. Jean-Pierre Moreau</w:t>
      </w:r>
    </w:p>
    <w:bookmarkStart w:id="20" w:name="doctor-general-practitioner"/>
    <w:p>
      <w:pPr>
        <w:pStyle w:val="Heading2"/>
      </w:pPr>
      <w:r>
        <w:t xml:space="preserve">Doctor General Practitioner</w:t>
      </w:r>
    </w:p>
    <w:p>
      <w:pPr>
        <w:pStyle w:val="FirstParagraph"/>
      </w:pPr>
      <w:r>
        <w:t xml:space="preserve">15 Rue Paradis</w:t>
      </w:r>
      <w:r>
        <w:br/>
      </w:r>
      <w:r>
        <w:t xml:space="preserve">13001 Marseille, France</w:t>
      </w:r>
      <w:r>
        <w:br/>
      </w:r>
      <w:r>
        <w:t xml:space="preserve">Phone: +33 4 91 00 00 00</w:t>
      </w:r>
      <w:r>
        <w:br/>
      </w:r>
      <w:r>
        <w:t xml:space="preserve">Email: contact@dr-moreau-marseille.fr</w:t>
      </w:r>
      <w:r>
        <w:br/>
      </w:r>
      <w:r>
        <w:t xml:space="preserve">RPPS: 10004291234</w:t>
      </w:r>
      <w:r>
        <w:br/>
      </w:r>
      <w:r>
        <w:t xml:space="preserve">SIRET: 823 456 789 00012</w:t>
      </w:r>
      <w:r>
        <w:br/>
      </w:r>
      <w:r>
        <w:t xml:space="preserve">TVA Intracommunautaire: FR 12 823456789</w:t>
      </w:r>
    </w:p>
    <w:bookmarkEnd w:id="20"/>
    <w:bookmarkEnd w:id="21"/>
    <w:bookmarkStart w:id="22" w:name="invoice"/>
    <w:p>
      <w:pPr>
        <w:pStyle w:val="Heading3"/>
      </w:pPr>
      <w:r>
        <w:t xml:space="preserve">Invoice</w:t>
      </w:r>
    </w:p>
    <w:p>
      <w:pPr>
        <w:pStyle w:val="FirstParagraph"/>
      </w:pPr>
      <w:r>
        <w:t xml:space="preserve">Official Medical Bill</w:t>
      </w:r>
      <w:r>
        <w:br/>
      </w:r>
      <w:r>
        <w:t xml:space="preserve">Consultation &amp; Services</w:t>
      </w:r>
    </w:p>
    <w:bookmarkEnd w:id="22"/>
    <w:p>
      <w:pPr>
        <w:pStyle w:val="BodyText"/>
      </w:pPr>
      <w:r>
        <w:t xml:space="preserve">Bill To (Patient)</w:t>
      </w:r>
    </w:p>
    <w:p>
      <w:pPr>
        <w:pStyle w:val="BodyText"/>
      </w:pPr>
      <w:r>
        <w:rPr>
          <w:bCs/>
          <w:b/>
        </w:rPr>
        <w:t xml:space="preserve">Mme. Sophie Durand</w:t>
      </w:r>
      <w:r>
        <w:br/>
      </w:r>
      <w:r>
        <w:t xml:space="preserve">42 Avenue du Prado</w:t>
      </w:r>
      <w:r>
        <w:br/>
      </w:r>
      <w:r>
        <w:t xml:space="preserve">13008 Marseille, France</w:t>
      </w:r>
      <w:r>
        <w:br/>
      </w:r>
      <w:r>
        <w:t xml:space="preserve">Social Security Number (NIR): 1 85 04 78 123 456 78</w:t>
      </w:r>
      <w:r>
        <w:br/>
      </w:r>
      <w:r>
        <w:t xml:space="preserve">Mutual Insurance: Groupama Santé</w:t>
      </w:r>
      <w:r>
        <w:br/>
      </w:r>
      <w:r>
        <w:t xml:space="preserve">Policy Number: MUT-987654321</w:t>
      </w:r>
    </w:p>
    <w:p>
      <w:pPr>
        <w:pStyle w:val="BodyText"/>
      </w:pPr>
      <w:r>
        <w:t xml:space="preserve">Invoice Details</w:t>
      </w:r>
    </w:p>
    <w:p>
      <w:pPr>
        <w:pStyle w:val="BodyText"/>
      </w:pPr>
      <w:r>
        <w:rPr>
          <w:bCs/>
          <w:b/>
        </w:rPr>
        <w:t xml:space="preserve">Invoice Number:</w:t>
      </w:r>
      <w:r>
        <w:t xml:space="preserve"> </w:t>
      </w:r>
      <w:r>
        <w:t xml:space="preserve">INV-2023-10-042</w:t>
      </w:r>
      <w:r>
        <w:br/>
      </w:r>
      <w:r>
        <w:rPr>
          <w:bCs/>
          <w:b/>
        </w:rPr>
        <w:t xml:space="preserve">Date of Issue:</w:t>
      </w:r>
      <w:r>
        <w:t xml:space="preserve"> </w:t>
      </w:r>
      <w:r>
        <w:t xml:space="preserve">October 24, 2023</w:t>
      </w:r>
      <w:r>
        <w:br/>
      </w:r>
      <w:r>
        <w:rPr>
          <w:bCs/>
          <w:b/>
        </w:rPr>
        <w:t xml:space="preserve">Date of Service:</w:t>
      </w:r>
      <w:r>
        <w:t xml:space="preserve"> </w:t>
      </w:r>
      <w:r>
        <w:t xml:space="preserve">October 24, 2023</w:t>
      </w:r>
      <w:r>
        <w:br/>
      </w:r>
      <w:r>
        <w:rPr>
          <w:bCs/>
          <w:b/>
        </w:rPr>
        <w:t xml:space="preserve">Payment Status:</w:t>
      </w:r>
      <w:r>
        <w:t xml:space="preserve"> </w:t>
      </w:r>
      <w:r>
        <w:t xml:space="preserve">Pending</w:t>
      </w:r>
      <w:r>
        <w:br/>
      </w:r>
      <w:r>
        <w:rPr>
          <w:bCs/>
          <w:b/>
        </w:rPr>
        <w:t xml:space="preserve">Due Date:</w:t>
      </w:r>
      <w:r>
        <w:t xml:space="preserve"> </w:t>
      </w:r>
      <w:r>
        <w:t xml:space="preserve">Upon Receipt</w:t>
      </w:r>
    </w:p>
    <w:p>
      <w:pPr>
        <w:pStyle w:val="BodyText"/>
      </w:pPr>
      <w:r>
        <w:t xml:space="preserve">Description of Medical Services Rendered</w:t>
      </w:r>
    </w:p>
    <w:p>
      <w:pPr>
        <w:pStyle w:val="BodyText"/>
      </w:pPr>
      <w:r>
        <w:t xml:space="preserve">The following Invoice details the professional fees charged by Dr. Jean-Pierre Moreau, a Doctor General Practitioner practicing in France Marseille, for the medical consultation and related services provided to the patient listed above. All fees are calculated in accordance with the current national fee schedule (Nomenclature des actes médicaux) applicable in France.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Code</w:t>
            </w:r>
          </w:p>
        </w:tc>
        <w:tc>
          <w:tcPr/>
          <w:p>
            <w:pPr>
              <w:pStyle w:val="Compact"/>
              <w:jc w:val="left"/>
            </w:pPr>
            <w:r>
              <w:t xml:space="preserve">Description of Service</w:t>
            </w:r>
          </w:p>
        </w:tc>
        <w:tc>
          <w:tcPr/>
          <w:p>
            <w:pPr>
              <w:pStyle w:val="Compact"/>
              <w:jc w:val="left"/>
            </w:pPr>
            <w:r>
              <w:t xml:space="preserve">Rate (€)</w:t>
            </w:r>
          </w:p>
        </w:tc>
        <w:tc>
          <w:tcPr/>
          <w:p>
            <w:pPr>
              <w:pStyle w:val="Compact"/>
              <w:jc w:val="left"/>
            </w:pPr>
            <w:r>
              <w:t xml:space="preserve">Qty</w:t>
            </w:r>
          </w:p>
        </w:tc>
        <w:tc>
          <w:tcPr/>
          <w:p>
            <w:pPr>
              <w:pStyle w:val="Compact"/>
              <w:jc w:val="left"/>
            </w:pPr>
            <w:r>
              <w:t xml:space="preserve">Total (€)</w:t>
            </w:r>
          </w:p>
        </w:tc>
        <w:tc>
          <w:tcPr/>
          <w:p>
            <w:pPr>
              <w:pStyle w:val="Compact"/>
              <w:jc w:val="left"/>
            </w:pPr>
            <w:r>
              <w:t xml:space="preserve">Remarks</w:t>
            </w:r>
          </w:p>
        </w:tc>
      </w:tr>
      <w:tr>
        <w:tc>
          <w:tcPr/>
          <w:p>
            <w:pPr>
              <w:pStyle w:val="Compact"/>
              <w:jc w:val="left"/>
            </w:pPr>
            <w:r>
              <w:t xml:space="preserve">200</w:t>
            </w:r>
          </w:p>
        </w:tc>
        <w:tc>
          <w:tcPr/>
          <w:p>
            <w:pPr>
              <w:pStyle w:val="Compact"/>
              <w:jc w:val="left"/>
            </w:pPr>
            <w:r>
              <w:t xml:space="preserve">General Medical Consultation (Consultation Générale)</w:t>
            </w:r>
          </w:p>
        </w:tc>
        <w:tc>
          <w:tcPr/>
          <w:p>
            <w:pPr>
              <w:pStyle w:val="Compact"/>
              <w:jc w:val="left"/>
            </w:pPr>
            <w:r>
              <w:t xml:space="preserve">25.00</w:t>
            </w:r>
          </w:p>
        </w:tc>
        <w:tc>
          <w:tcPr/>
          <w:p>
            <w:pPr>
              <w:pStyle w:val="Compact"/>
              <w:jc w:val="left"/>
            </w:pPr>
            <w:r>
              <w:t xml:space="preserve">1</w:t>
            </w:r>
          </w:p>
        </w:tc>
        <w:tc>
          <w:tcPr/>
          <w:p>
            <w:pPr>
              <w:pStyle w:val="Compact"/>
              <w:jc w:val="left"/>
            </w:pPr>
            <w:r>
              <w:t xml:space="preserve">25.00</w:t>
            </w:r>
          </w:p>
        </w:tc>
        <w:tc>
          <w:tcPr/>
          <w:p>
            <w:pPr>
              <w:pStyle w:val="Compact"/>
              <w:jc w:val="left"/>
            </w:pPr>
            <w:r>
              <w:t xml:space="preserve">Standard Rate</w:t>
            </w:r>
          </w:p>
        </w:tc>
      </w:tr>
      <w:tr>
        <w:tc>
          <w:tcPr/>
          <w:p>
            <w:pPr>
              <w:pStyle w:val="Compact"/>
              <w:jc w:val="left"/>
            </w:pPr>
            <w:r>
              <w:t xml:space="preserve">201</w:t>
            </w:r>
          </w:p>
        </w:tc>
        <w:tc>
          <w:tcPr/>
          <w:p>
            <w:pPr>
              <w:pStyle w:val="Compact"/>
              <w:jc w:val="left"/>
            </w:pPr>
            <w:r>
              <w:t xml:space="preserve">Extended Consultation (Consultation Prolongée)</w:t>
            </w:r>
          </w:p>
        </w:tc>
        <w:tc>
          <w:tcPr/>
          <w:p>
            <w:pPr>
              <w:pStyle w:val="Compact"/>
              <w:jc w:val="left"/>
            </w:pPr>
            <w:r>
              <w:t xml:space="preserve">15.00</w:t>
            </w:r>
          </w:p>
        </w:tc>
        <w:tc>
          <w:tcPr/>
          <w:p>
            <w:pPr>
              <w:pStyle w:val="Compact"/>
              <w:jc w:val="left"/>
            </w:pPr>
            <w:r>
              <w:t xml:space="preserve">1</w:t>
            </w:r>
          </w:p>
        </w:tc>
        <w:tc>
          <w:tcPr/>
          <w:p>
            <w:pPr>
              <w:pStyle w:val="Compact"/>
              <w:jc w:val="left"/>
            </w:pPr>
            <w:r>
              <w:t xml:space="preserve">15.00</w:t>
            </w:r>
          </w:p>
        </w:tc>
        <w:tc>
          <w:tcPr/>
          <w:p>
            <w:pPr>
              <w:pStyle w:val="Compact"/>
              <w:jc w:val="left"/>
            </w:pPr>
            <w:r>
              <w:t xml:space="preserve">Complex Case</w:t>
            </w:r>
          </w:p>
        </w:tc>
      </w:tr>
      <w:tr>
        <w:tc>
          <w:tcPr/>
          <w:p>
            <w:pPr>
              <w:pStyle w:val="Compact"/>
              <w:jc w:val="left"/>
            </w:pPr>
            <w:r>
              <w:t xml:space="preserve">203</w:t>
            </w:r>
          </w:p>
        </w:tc>
        <w:tc>
          <w:tcPr/>
          <w:p>
            <w:pPr>
              <w:pStyle w:val="Compact"/>
              <w:jc w:val="left"/>
            </w:pPr>
            <w:r>
              <w:t xml:space="preserve">Home Visit (Visite à Domicile)</w:t>
            </w:r>
          </w:p>
        </w:tc>
        <w:tc>
          <w:tcPr/>
          <w:p>
            <w:pPr>
              <w:pStyle w:val="Compact"/>
              <w:jc w:val="left"/>
            </w:pPr>
            <w:r>
              <w:t xml:space="preserve">35.00</w:t>
            </w:r>
          </w:p>
        </w:tc>
        <w:tc>
          <w:tcPr/>
          <w:p>
            <w:pPr>
              <w:pStyle w:val="Compact"/>
              <w:jc w:val="left"/>
            </w:pPr>
            <w:r>
              <w:t xml:space="preserve">0</w:t>
            </w:r>
          </w:p>
        </w:tc>
        <w:tc>
          <w:tcPr/>
          <w:p>
            <w:pPr>
              <w:pStyle w:val="Compact"/>
              <w:jc w:val="left"/>
            </w:pPr>
            <w:r>
              <w:t xml:space="preserve">0.00</w:t>
            </w:r>
          </w:p>
        </w:tc>
        <w:tc>
          <w:tcPr/>
          <w:p>
            <w:pPr>
              <w:pStyle w:val="Compact"/>
              <w:jc w:val="left"/>
            </w:pPr>
            <w:r>
              <w:t xml:space="preserve">Not Applicable</w:t>
            </w:r>
          </w:p>
        </w:tc>
      </w:tr>
      <w:tr>
        <w:tc>
          <w:tcPr/>
          <w:p>
            <w:pPr>
              <w:pStyle w:val="Compact"/>
              <w:jc w:val="left"/>
            </w:pPr>
            <w:r>
              <w:t xml:space="preserve">204</w:t>
            </w:r>
          </w:p>
        </w:tc>
        <w:tc>
          <w:tcPr/>
          <w:p>
            <w:pPr>
              <w:pStyle w:val="Compact"/>
              <w:jc w:val="left"/>
            </w:pPr>
            <w:r>
              <w:t xml:space="preserve">Medical Certificate Issuance</w:t>
            </w:r>
          </w:p>
        </w:tc>
        <w:tc>
          <w:tcPr/>
          <w:p>
            <w:pPr>
              <w:pStyle w:val="Compact"/>
              <w:jc w:val="left"/>
            </w:pPr>
            <w:r>
              <w:t xml:space="preserve">10.00</w:t>
            </w:r>
          </w:p>
        </w:tc>
        <w:tc>
          <w:tcPr/>
          <w:p>
            <w:pPr>
              <w:pStyle w:val="Compact"/>
              <w:jc w:val="left"/>
            </w:pPr>
            <w:r>
              <w:t xml:space="preserve">1</w:t>
            </w:r>
          </w:p>
        </w:tc>
        <w:tc>
          <w:tcPr/>
          <w:p>
            <w:pPr>
              <w:pStyle w:val="Compact"/>
              <w:jc w:val="left"/>
            </w:pPr>
            <w:r>
              <w:t xml:space="preserve">10.00</w:t>
            </w:r>
          </w:p>
        </w:tc>
        <w:tc>
          <w:tcPr/>
          <w:p>
            <w:pPr>
              <w:pStyle w:val="Compact"/>
              <w:jc w:val="left"/>
            </w:pPr>
            <w:r>
              <w:t xml:space="preserve">Fitness to Work</w:t>
            </w:r>
          </w:p>
        </w:tc>
      </w:tr>
      <w:tr>
        <w:tc>
          <w:tcPr/>
          <w:p>
            <w:pPr>
              <w:pStyle w:val="Compact"/>
              <w:jc w:val="left"/>
            </w:pPr>
            <w:r>
              <w:t xml:space="preserve">205</w:t>
            </w:r>
          </w:p>
        </w:tc>
        <w:tc>
          <w:tcPr/>
          <w:p>
            <w:pPr>
              <w:pStyle w:val="Compact"/>
              <w:jc w:val="left"/>
            </w:pPr>
            <w:r>
              <w:t xml:space="preserve">Prescription Management &amp; Review</w:t>
            </w:r>
          </w:p>
        </w:tc>
        <w:tc>
          <w:tcPr/>
          <w:p>
            <w:pPr>
              <w:pStyle w:val="Compact"/>
              <w:jc w:val="left"/>
            </w:pPr>
            <w:r>
              <w:t xml:space="preserve">5.00</w:t>
            </w:r>
          </w:p>
        </w:tc>
        <w:tc>
          <w:tcPr/>
          <w:p>
            <w:pPr>
              <w:pStyle w:val="Compact"/>
              <w:jc w:val="left"/>
            </w:pPr>
            <w:r>
              <w:t xml:space="preserve">1</w:t>
            </w:r>
          </w:p>
        </w:tc>
        <w:tc>
          <w:tcPr/>
          <w:p>
            <w:pPr>
              <w:pStyle w:val="Compact"/>
              <w:jc w:val="left"/>
            </w:pPr>
            <w:r>
              <w:t xml:space="preserve">5.00</w:t>
            </w:r>
          </w:p>
        </w:tc>
        <w:tc>
          <w:tcPr/>
          <w:p>
            <w:pPr>
              <w:pStyle w:val="Compact"/>
              <w:jc w:val="left"/>
            </w:pPr>
            <w:r>
              <w:t xml:space="preserve">Included</w:t>
            </w:r>
          </w:p>
        </w:tc>
      </w:tr>
      <w:tr>
        <w:tc>
          <w:tcPr/>
          <w:p>
            <w:pPr>
              <w:pStyle w:val="Compact"/>
              <w:jc w:val="left"/>
            </w:pPr>
            <w:r>
              <w:t xml:space="preserve">206</w:t>
            </w:r>
          </w:p>
        </w:tc>
        <w:tc>
          <w:tcPr/>
          <w:p>
            <w:pPr>
              <w:pStyle w:val="Compact"/>
              <w:jc w:val="left"/>
            </w:pPr>
            <w:r>
              <w:t xml:space="preserve">Administrative Processing Fee</w:t>
            </w:r>
          </w:p>
        </w:tc>
        <w:tc>
          <w:tcPr/>
          <w:p>
            <w:pPr>
              <w:pStyle w:val="Compact"/>
              <w:jc w:val="left"/>
            </w:pPr>
            <w:r>
              <w:t xml:space="preserve">2.00</w:t>
            </w:r>
          </w:p>
        </w:tc>
        <w:tc>
          <w:tcPr/>
          <w:p>
            <w:pPr>
              <w:pStyle w:val="Compact"/>
              <w:jc w:val="left"/>
            </w:pPr>
            <w:r>
              <w:t xml:space="preserve">1</w:t>
            </w:r>
          </w:p>
        </w:tc>
        <w:tc>
          <w:tcPr/>
          <w:p>
            <w:pPr>
              <w:pStyle w:val="Compact"/>
              <w:jc w:val="left"/>
            </w:pPr>
            <w:r>
              <w:t xml:space="preserve">2.00</w:t>
            </w:r>
          </w:p>
        </w:tc>
        <w:tc>
          <w:tcPr/>
          <w:p>
            <w:pPr>
              <w:pStyle w:val="Compact"/>
              <w:jc w:val="left"/>
            </w:pPr>
            <w:r>
              <w:t xml:space="preserve">File Management</w:t>
            </w:r>
          </w:p>
        </w:tc>
      </w:tr>
    </w:tbl>
    <w:p>
      <w:pPr>
        <w:pStyle w:val="BodyText"/>
      </w:pPr>
      <w:r>
        <w:t xml:space="preserve">Subtotal (Hors Taxes)</w:t>
      </w:r>
      <w:r>
        <w:t xml:space="preserve"> </w:t>
      </w:r>
      <w:r>
        <w:t xml:space="preserve">57.00 €</w:t>
      </w:r>
    </w:p>
    <w:p>
      <w:pPr>
        <w:pStyle w:val="BodyText"/>
      </w:pPr>
      <w:r>
        <w:t xml:space="preserve">VAT (TVA) - Exempted</w:t>
      </w:r>
      <w:r>
        <w:t xml:space="preserve"> </w:t>
      </w:r>
      <w:r>
        <w:t xml:space="preserve">0.00 €</w:t>
      </w:r>
    </w:p>
    <w:p>
      <w:pPr>
        <w:pStyle w:val="BodyText"/>
      </w:pPr>
      <w:r>
        <w:t xml:space="preserve">Security Contribution (CSG/CRDS)</w:t>
      </w:r>
      <w:r>
        <w:t xml:space="preserve"> </w:t>
      </w:r>
      <w:r>
        <w:t xml:space="preserve">3.42 €</w:t>
      </w:r>
    </w:p>
    <w:p>
      <w:pPr>
        <w:pStyle w:val="BodyText"/>
      </w:pPr>
      <w:r>
        <w:t xml:space="preserve">Total Amount Due</w:t>
      </w:r>
      <w:r>
        <w:t xml:space="preserve"> </w:t>
      </w:r>
      <w:r>
        <w:t xml:space="preserve">60.42 €</w:t>
      </w:r>
    </w:p>
    <w:bookmarkStart w:id="23" w:name="important-notes-payment-instructions"/>
    <w:p>
      <w:pPr>
        <w:pStyle w:val="Heading4"/>
      </w:pPr>
      <w:r>
        <w:t xml:space="preserve">Important Notes &amp; Payment Instructions</w:t>
      </w:r>
    </w:p>
    <w:p>
      <w:pPr>
        <w:pStyle w:val="FirstParagraph"/>
      </w:pPr>
      <w:r>
        <w:t xml:space="preserve">This Invoice serves as the official record of the medical services provided by Dr. Jean-Pierre Moreau, a Doctor General Practitioner located in France Marseille. As per French healthcare regulations, this document is essential for reimbursement claims with the French National Health Insurance (Assurance Maladie) and your complementary mutual insurance provider.</w:t>
      </w:r>
    </w:p>
    <w:p>
      <w:pPr>
        <w:pStyle w:val="BodyText"/>
      </w:pPr>
      <w:r>
        <w:rPr>
          <w:bCs/>
          <w:b/>
        </w:rPr>
        <w:t xml:space="preserve">Payment Methods:</w:t>
      </w:r>
      <w:r>
        <w:br/>
      </w:r>
      <w:r>
        <w:t xml:space="preserve">Payment can be made via bank transfer, credit card, or cash at the clinic located in Marseille. Please reference the Invoice Number (INV-2023-10-042) when making your payment.</w:t>
      </w:r>
    </w:p>
    <w:p>
      <w:pPr>
        <w:pStyle w:val="BodyText"/>
      </w:pPr>
      <w:r>
        <w:rPr>
          <w:bCs/>
          <w:b/>
        </w:rPr>
        <w:t xml:space="preserve">Reimbursement Process:</w:t>
      </w:r>
      <w:r>
        <w:br/>
      </w:r>
      <w:r>
        <w:t xml:space="preserve">Patients are advised to submit this Invoice along with their Carte Vitale to their local CPAM (Caisse Primaire d'Assurance Maladie) office or via the Ameli mobile application. The standard reimbursement rate for a general consultation in France is 70% of the base fee, with the remaining balance covered by complementary insurance or paid out-of-pocket by the patient.</w:t>
      </w:r>
    </w:p>
    <w:p>
      <w:pPr>
        <w:pStyle w:val="BodyText"/>
      </w:pPr>
      <w:r>
        <w:rPr>
          <w:bCs/>
          <w:b/>
        </w:rPr>
        <w:t xml:space="preserve">Legal Compliance:</w:t>
      </w:r>
      <w:r>
        <w:br/>
      </w:r>
      <w:r>
        <w:t xml:space="preserve">This Invoice complies with the fiscal and medical documentation requirements set forth by the French government. All services rendered were performed in accordance with the ethical standards of the French Medical Council (Conseil National de l'Ordre des Médecins). The Doctor General Practitioner guarantees the accuracy of the information provided in this document.</w:t>
      </w:r>
    </w:p>
    <w:p>
      <w:pPr>
        <w:pStyle w:val="BodyText"/>
      </w:pPr>
      <w:r>
        <w:rPr>
          <w:bCs/>
          <w:b/>
        </w:rPr>
        <w:t xml:space="preserve">Contact Information:</w:t>
      </w:r>
      <w:r>
        <w:br/>
      </w:r>
      <w:r>
        <w:t xml:space="preserve">For any questions regarding this Invoice or your medical records, please contact the clinic in Marseille during business hours (Monday to Friday, 9:00 AM - 6:00 PM). Emergency appointments are available for urgent cases.</w:t>
      </w:r>
    </w:p>
    <w:p>
      <w:pPr>
        <w:pStyle w:val="BodyText"/>
      </w:pPr>
      <w:r>
        <w:t xml:space="preserve">Thank you for trusting Dr. Jean-Pierre Moreau for your healthcare needs in France Marseille. We are committed to providing high-quality medical care and transparent billing practices to all our patients.</w:t>
      </w:r>
    </w:p>
    <w:bookmarkEnd w:id="23"/>
    <w:p>
      <w:pPr>
        <w:pStyle w:val="BodyText"/>
      </w:pPr>
      <w:r>
        <w:t xml:space="preserve">Dr. Jean-Pierre Moreau | Doctor General Practitioner | 15 Rue Paradis, 13001 Marseille, France</w:t>
      </w:r>
      <w:r>
        <w:br/>
      </w:r>
      <w:r>
        <w:t xml:space="preserve">This Invoice is generated electronically and is valid without signature.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General Practitioner - Marseille, France</dc:title>
  <dc:creator/>
  <dc:language>en</dc:language>
  <cp:keywords/>
  <dcterms:created xsi:type="dcterms:W3CDTF">2026-10-10T06:29:05Z</dcterms:created>
  <dcterms:modified xsi:type="dcterms:W3CDTF">2026-10-10T06:29:05Z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