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Munich</w:t>
      </w:r>
    </w:p>
    <w:bookmarkStart w:id="21" w:name="dr.-med.-thomas-weber"/>
    <w:p>
      <w:pPr>
        <w:pStyle w:val="Heading1"/>
      </w:pPr>
      <w:r>
        <w:t xml:space="preserve">Dr. med. Thomas Weber</w:t>
      </w:r>
    </w:p>
    <w:bookmarkStart w:id="20" w:name="general-practitioner-family-medicine"/>
    <w:p>
      <w:pPr>
        <w:pStyle w:val="Heading2"/>
      </w:pPr>
      <w:r>
        <w:t xml:space="preserve">General Practitioner &amp; Family Medicine</w:t>
      </w:r>
    </w:p>
    <w:p>
      <w:pPr>
        <w:pStyle w:val="FirstParagraph"/>
      </w:pPr>
      <w:r>
        <w:t xml:space="preserve">Isarstraße 124</w:t>
      </w:r>
      <w:r>
        <w:br/>
      </w:r>
      <w:r>
        <w:t xml:space="preserve">81675 Munich, Germany</w:t>
      </w:r>
      <w:r>
        <w:br/>
      </w:r>
      <w:r>
        <w:t xml:space="preserve">Phone: +49 (0) 89 123 456 78</w:t>
      </w:r>
      <w:r>
        <w:br/>
      </w:r>
      <w:r>
        <w:t xml:space="preserve">Email: practice@dr-weber-muenchen.de</w:t>
      </w:r>
      <w:r>
        <w:br/>
      </w:r>
      <w:r>
        <w:t xml:space="preserve">VAT ID: DE 123 456 789</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INV-2023-10-042</w:t>
      </w:r>
      <w:r>
        <w:br/>
      </w:r>
      <w:r>
        <w:rPr>
          <w:bCs/>
          <w:b/>
        </w:rPr>
        <w:t xml:space="preserve">Date:</w:t>
      </w:r>
      <w:r>
        <w:t xml:space="preserve"> </w:t>
      </w:r>
      <w:r>
        <w:t xml:space="preserve">October 24, 2023</w:t>
      </w:r>
      <w:r>
        <w:br/>
      </w:r>
      <w:r>
        <w:rPr>
          <w:bCs/>
          <w:b/>
        </w:rPr>
        <w:t xml:space="preserve">Due Date:</w:t>
      </w:r>
      <w:r>
        <w:t xml:space="preserve"> </w:t>
      </w:r>
      <w:r>
        <w:t xml:space="preserve">November 24, 2023</w:t>
      </w:r>
    </w:p>
    <w:bookmarkEnd w:id="22"/>
    <w:p>
      <w:pPr>
        <w:pStyle w:val="BodyText"/>
      </w:pPr>
      <w:r>
        <w:t xml:space="preserve">Bill To</w:t>
      </w:r>
    </w:p>
    <w:p>
      <w:pPr>
        <w:pStyle w:val="BodyText"/>
      </w:pPr>
      <w:r>
        <w:rPr>
          <w:bCs/>
          <w:b/>
        </w:rPr>
        <w:t xml:space="preserve">Mr. Alexander Schmidt</w:t>
      </w:r>
      <w:r>
        <w:br/>
      </w:r>
      <w:r>
        <w:t xml:space="preserve">Leopoldstraße 88</w:t>
      </w:r>
      <w:r>
        <w:br/>
      </w:r>
      <w:r>
        <w:t xml:space="preserve">80802 Munich, Germany</w:t>
      </w:r>
    </w:p>
    <w:p>
      <w:pPr>
        <w:pStyle w:val="BodyText"/>
      </w:pPr>
      <w:r>
        <w:t xml:space="preserve">Insurance / Reference</w:t>
      </w:r>
    </w:p>
    <w:p>
      <w:pPr>
        <w:pStyle w:val="BodyText"/>
      </w:pPr>
      <w:r>
        <w:rPr>
          <w:bCs/>
          <w:b/>
        </w:rPr>
        <w:t xml:space="preserve">Health Insurance:</w:t>
      </w:r>
      <w:r>
        <w:t xml:space="preserve"> </w:t>
      </w:r>
      <w:r>
        <w:t xml:space="preserve">AOK Bayern</w:t>
      </w:r>
      <w:r>
        <w:br/>
      </w:r>
      <w:r>
        <w:rPr>
          <w:bCs/>
          <w:b/>
        </w:rPr>
        <w:t xml:space="preserve">Policy Number:</w:t>
      </w:r>
      <w:r>
        <w:t xml:space="preserve"> </w:t>
      </w:r>
      <w:r>
        <w:t xml:space="preserve">1234567890</w:t>
      </w:r>
      <w:r>
        <w:br/>
      </w:r>
      <w:r>
        <w:rPr>
          <w:bCs/>
          <w:b/>
        </w:rPr>
        <w:t xml:space="preserve">Appointment Date:</w:t>
      </w:r>
      <w:r>
        <w:t xml:space="preserve"> </w:t>
      </w:r>
      <w:r>
        <w:t xml:space="preserve">October 24,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Description of Medical Services</w:t>
            </w:r>
          </w:p>
        </w:tc>
        <w:tc>
          <w:tcPr/>
          <w:p>
            <w:pPr>
              <w:pStyle w:val="Compact"/>
              <w:jc w:val="left"/>
            </w:pPr>
            <w:r>
              <w:t xml:space="preserve">Code (EBM)</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Comprehensive General Practitioner Consultation</w:t>
            </w:r>
            <w:r>
              <w:br/>
            </w:r>
            <w:r>
              <w:t xml:space="preserve">Detailed anamnesis and physical examination conducted by Dr. Weber. Assessment of chronic fatigue symptoms and respiratory complaints.</w:t>
            </w:r>
          </w:p>
        </w:tc>
        <w:tc>
          <w:tcPr/>
          <w:p>
            <w:pPr>
              <w:pStyle w:val="Compact"/>
              <w:jc w:val="left"/>
            </w:pPr>
            <w:r>
              <w:t xml:space="preserve">01720</w:t>
            </w:r>
          </w:p>
        </w:tc>
        <w:tc>
          <w:tcPr/>
          <w:p>
            <w:pPr>
              <w:pStyle w:val="Compact"/>
              <w:jc w:val="left"/>
            </w:pPr>
            <w:r>
              <w:t xml:space="preserve">45.00</w:t>
            </w:r>
          </w:p>
        </w:tc>
      </w:tr>
      <w:tr>
        <w:tc>
          <w:tcPr/>
          <w:p>
            <w:pPr>
              <w:pStyle w:val="Compact"/>
              <w:jc w:val="left"/>
            </w:pPr>
            <w:r>
              <w:t xml:space="preserve">2</w:t>
            </w:r>
          </w:p>
        </w:tc>
        <w:tc>
          <w:tcPr/>
          <w:p>
            <w:pPr>
              <w:pStyle w:val="Compact"/>
              <w:jc w:val="left"/>
            </w:pPr>
            <w:r>
              <w:rPr>
                <w:bCs/>
                <w:b/>
              </w:rPr>
              <w:t xml:space="preserve">Diagnostic Blood Work Order</w:t>
            </w:r>
            <w:r>
              <w:br/>
            </w:r>
            <w:r>
              <w:t xml:space="preserve">Prescription and documentation for full blood count, thyroid function test (TSH, fT3, fT4), and inflammatory markers (CRP).</w:t>
            </w:r>
          </w:p>
        </w:tc>
        <w:tc>
          <w:tcPr/>
          <w:p>
            <w:pPr>
              <w:pStyle w:val="Compact"/>
              <w:jc w:val="left"/>
            </w:pPr>
            <w:r>
              <w:t xml:space="preserve">03040</w:t>
            </w:r>
          </w:p>
        </w:tc>
        <w:tc>
          <w:tcPr/>
          <w:p>
            <w:pPr>
              <w:pStyle w:val="Compact"/>
              <w:jc w:val="left"/>
            </w:pPr>
            <w:r>
              <w:t xml:space="preserve">15.00</w:t>
            </w:r>
          </w:p>
        </w:tc>
      </w:tr>
      <w:tr>
        <w:tc>
          <w:tcPr/>
          <w:p>
            <w:pPr>
              <w:pStyle w:val="Compact"/>
              <w:jc w:val="left"/>
            </w:pPr>
            <w:r>
              <w:t xml:space="preserve">3</w:t>
            </w:r>
          </w:p>
        </w:tc>
        <w:tc>
          <w:tcPr/>
          <w:p>
            <w:pPr>
              <w:pStyle w:val="Compact"/>
              <w:jc w:val="left"/>
            </w:pPr>
            <w:r>
              <w:rPr>
                <w:bCs/>
                <w:b/>
              </w:rPr>
              <w:t xml:space="preserve">Electrocardiogram (ECG)</w:t>
            </w:r>
            <w:r>
              <w:br/>
            </w:r>
            <w:r>
              <w:t xml:space="preserve">Standard 12-lead ECG performed to rule out cardiac arrhythmias associated with reported palpitations.</w:t>
            </w:r>
          </w:p>
        </w:tc>
        <w:tc>
          <w:tcPr/>
          <w:p>
            <w:pPr>
              <w:pStyle w:val="Compact"/>
              <w:jc w:val="left"/>
            </w:pPr>
            <w:r>
              <w:t xml:space="preserve">03360</w:t>
            </w:r>
          </w:p>
        </w:tc>
        <w:tc>
          <w:tcPr/>
          <w:p>
            <w:pPr>
              <w:pStyle w:val="Compact"/>
              <w:jc w:val="left"/>
            </w:pPr>
            <w:r>
              <w:t xml:space="preserve">25.00</w:t>
            </w:r>
          </w:p>
        </w:tc>
      </w:tr>
      <w:tr>
        <w:tc>
          <w:tcPr/>
          <w:p>
            <w:pPr>
              <w:pStyle w:val="Compact"/>
              <w:jc w:val="left"/>
            </w:pPr>
            <w:r>
              <w:t xml:space="preserve">4</w:t>
            </w:r>
          </w:p>
        </w:tc>
        <w:tc>
          <w:tcPr/>
          <w:p>
            <w:pPr>
              <w:pStyle w:val="Compact"/>
              <w:jc w:val="left"/>
            </w:pPr>
            <w:r>
              <w:rPr>
                <w:bCs/>
                <w:b/>
              </w:rPr>
              <w:t xml:space="preserve">Medical Certificate Issuance</w:t>
            </w:r>
            <w:r>
              <w:br/>
            </w:r>
            <w:r>
              <w:t xml:space="preserve">Creation of a work incapacity certificate (Arbeitsunfähigkeitsbescheinigung) for the period of Oct 24-26, 2023.</w:t>
            </w:r>
          </w:p>
        </w:tc>
        <w:tc>
          <w:tcPr/>
          <w:p>
            <w:pPr>
              <w:pStyle w:val="Compact"/>
              <w:jc w:val="left"/>
            </w:pPr>
            <w:r>
              <w:t xml:space="preserve">01780</w:t>
            </w:r>
          </w:p>
        </w:tc>
        <w:tc>
          <w:tcPr/>
          <w:p>
            <w:pPr>
              <w:pStyle w:val="Compact"/>
              <w:jc w:val="left"/>
            </w:pPr>
            <w:r>
              <w:t xml:space="preserve">10.00</w:t>
            </w:r>
          </w:p>
        </w:tc>
      </w:tr>
      <w:tr>
        <w:tc>
          <w:tcPr/>
          <w:p>
            <w:pPr>
              <w:pStyle w:val="Compact"/>
              <w:jc w:val="left"/>
            </w:pPr>
            <w:r>
              <w:t xml:space="preserve">5</w:t>
            </w:r>
          </w:p>
        </w:tc>
        <w:tc>
          <w:tcPr/>
          <w:p>
            <w:pPr>
              <w:pStyle w:val="Compact"/>
              <w:jc w:val="left"/>
            </w:pPr>
            <w:r>
              <w:rPr>
                <w:bCs/>
                <w:b/>
              </w:rPr>
              <w:t xml:space="preserve">Prescription Management</w:t>
            </w:r>
            <w:r>
              <w:br/>
            </w:r>
            <w:r>
              <w:t xml:space="preserve">Electronic prescription (e-Rezept) for symptomatic treatment and follow-up medication.</w:t>
            </w:r>
          </w:p>
        </w:tc>
        <w:tc>
          <w:tcPr/>
          <w:p>
            <w:pPr>
              <w:pStyle w:val="Compact"/>
              <w:jc w:val="left"/>
            </w:pPr>
            <w:r>
              <w:t xml:space="preserve">01790</w:t>
            </w:r>
          </w:p>
        </w:tc>
        <w:tc>
          <w:tcPr/>
          <w:p>
            <w:pPr>
              <w:pStyle w:val="Compact"/>
              <w:jc w:val="left"/>
            </w:pPr>
            <w:r>
              <w:t xml:space="preserve">5.00</w:t>
            </w:r>
          </w:p>
        </w:tc>
      </w:tr>
    </w:tbl>
    <w:p>
      <w:pPr>
        <w:pStyle w:val="BodyText"/>
      </w:pPr>
      <w:r>
        <w:t xml:space="preserve">Subtotal</w:t>
      </w:r>
      <w:r>
        <w:t xml:space="preserve"> </w:t>
      </w:r>
      <w:r>
        <w:t xml:space="preserve">100.00 EUR</w:t>
      </w:r>
    </w:p>
    <w:p>
      <w:pPr>
        <w:pStyle w:val="BodyText"/>
      </w:pPr>
      <w:r>
        <w:t xml:space="preserve">VAT (19%)</w:t>
      </w:r>
      <w:r>
        <w:t xml:space="preserve"> </w:t>
      </w:r>
      <w:r>
        <w:t xml:space="preserve">19.00 EUR</w:t>
      </w:r>
    </w:p>
    <w:p>
      <w:pPr>
        <w:pStyle w:val="BodyText"/>
      </w:pPr>
      <w:r>
        <w:t xml:space="preserve">Total Due</w:t>
      </w:r>
      <w:r>
        <w:t xml:space="preserve"> </w:t>
      </w:r>
      <w:r>
        <w:t xml:space="preserve">119.00 EUR</w:t>
      </w:r>
    </w:p>
    <w:p>
      <w:pPr>
        <w:pStyle w:val="BodyText"/>
      </w:pPr>
      <w:r>
        <w:t xml:space="preserve">Payment Instructions</w:t>
      </w:r>
    </w:p>
    <w:p>
      <w:pPr>
        <w:pStyle w:val="BodyText"/>
      </w:pPr>
      <w:r>
        <w:t xml:space="preserve">Please transfer the total amount to the following bank account within 30 days.</w:t>
      </w:r>
      <w:r>
        <w:br/>
      </w:r>
      <w:r>
        <w:rPr>
          <w:bCs/>
          <w:b/>
        </w:rPr>
        <w:t xml:space="preserve">Bank Name:</w:t>
      </w:r>
      <w:r>
        <w:t xml:space="preserve"> </w:t>
      </w:r>
      <w:r>
        <w:t xml:space="preserve">Bayerische Landesbank</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INV-2023-10-042</w:t>
      </w:r>
    </w:p>
    <w:p>
      <w:pPr>
        <w:pStyle w:val="BodyText"/>
      </w:pPr>
      <w:r>
        <w:t xml:space="preserve">Terms and Conditions</w:t>
      </w:r>
    </w:p>
    <w:p>
      <w:pPr>
        <w:pStyle w:val="BodyText"/>
      </w:pPr>
      <w:r>
        <w:t xml:space="preserve">This invoice is issued in accordance with German tax regulations and the fee schedule for general practitioners.</w:t>
      </w:r>
      <w:r>
        <w:t xml:space="preserve"> </w:t>
      </w:r>
      <w:r>
        <w:t xml:space="preserve">Payment is due within 30 days of the invoice date without deduction. In case of late payment, statutory interest may apply.</w:t>
      </w:r>
      <w:r>
        <w:t xml:space="preserve"> </w:t>
      </w:r>
      <w:r>
        <w:t xml:space="preserve">Please quote the invoice number on all payments.</w:t>
      </w:r>
    </w:p>
    <w:p>
      <w:pPr>
        <w:pStyle w:val="BodyText"/>
      </w:pPr>
      <w:r>
        <w:rPr>
          <w:bCs/>
          <w:b/>
        </w:rPr>
        <w:t xml:space="preserve">Privacy Notice:</w:t>
      </w:r>
      <w:r>
        <w:t xml:space="preserve"> </w:t>
      </w:r>
      <w:r>
        <w:t xml:space="preserve">Your personal and medical data are processed in accordance with the General Data Protection Regulation (GDPR) and German medical confidentiality laws.</w:t>
      </w:r>
    </w:p>
    <w:p>
      <w:pPr>
        <w:pStyle w:val="BodyText"/>
      </w:pPr>
      <w:r>
        <w:rPr>
          <w:bCs/>
          <w:b/>
        </w:rPr>
        <w:t xml:space="preserve">Legal Disclaimer and Service Context:</w:t>
      </w:r>
      <w:r>
        <w:br/>
      </w:r>
      <w:r>
        <w:t xml:space="preserve">This document serves as a formal financial record for medical services rendered by a licensed General Practitioner located in Munich, Germany. The practice of Dr. med. Thomas Weber adheres strictly to the professional standards set by the Bavarian Medical Association (Bayerische Landesärztekammer). As a General Practitioner in Munich, the provider offers primary care services that are essential for the health maintenance of residents in this major German metropolitan area. The fees listed above reflect the standard rates for private billing or supplementary services not fully covered by statutory health insurance, calculated based on the current German medical fee schedule (Einheitlicher Bewertungsmaßstab - EBM).</w:t>
      </w:r>
    </w:p>
    <w:p>
      <w:pPr>
        <w:pStyle w:val="BodyText"/>
      </w:pPr>
      <w:r>
        <w:t xml:space="preserve">Patients receiving care in Munich are entitled to high-quality medical attention. This invoice details the specific diagnostic and therapeutic measures taken during the consultation. The comprehensive nature of the examination ensures that the General Practitioner can accurately diagnose conditions and refer patients to specialists in Munich if necessary. The inclusion of VAT (Value Added Tax) at 19% is mandatory under German law for private medical services. For patients with statutory health insurance, this invoice may be used for reimbursement claims if the services were agreed upon as private payments (Zuzahlung or private Leistung).</w:t>
      </w:r>
    </w:p>
    <w:p>
      <w:pPr>
        <w:pStyle w:val="BodyText"/>
      </w:pPr>
      <w:r>
        <w:t xml:space="preserve">It is important to note that medical practices in Germany operate under strict regulatory frameworks. This invoice confirms that the services were provided by a qualified medical professional registered in the German medical register. The address listed is the official practice location in Munich, where patient records are securely stored. If you have any questions regarding the charges or the medical services provided, please contact the practice office directly. We appreciate your prompt payment and your trust in our medical care. Thank you for choosing our General Practitioner services in Munich.</w:t>
      </w:r>
    </w:p>
    <w:p>
      <w:pPr>
        <w:pStyle w:val="BodyText"/>
      </w:pPr>
      <w:r>
        <w:rPr>
          <w:iCs/>
          <w:i/>
        </w:rPr>
        <w:t xml:space="preserve">Note: This document is a template for illustrative purposes. Actual medical invoices in Germany may vary depending on the specific insurance status of the patient and the exact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Munich</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