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Tehran,</w:t>
      </w:r>
      <w:r>
        <w:t xml:space="preserve"> </w:t>
      </w:r>
      <w:r>
        <w:t xml:space="preserve">Iran</w:t>
      </w:r>
    </w:p>
    <w:bookmarkStart w:id="21" w:name="dr.-aria-hosseini---general-practitioner"/>
    <w:p>
      <w:pPr>
        <w:pStyle w:val="Heading1"/>
      </w:pPr>
      <w:r>
        <w:t xml:space="preserve">Dr. Aria Hosseini - General Practitioner</w:t>
      </w:r>
    </w:p>
    <w:bookmarkStart w:id="20" w:name="comprehensive-primary-care-clinic"/>
    <w:p>
      <w:pPr>
        <w:pStyle w:val="Heading2"/>
      </w:pPr>
      <w:r>
        <w:t xml:space="preserve">Comprehensive Primary Care Clinic</w:t>
      </w:r>
    </w:p>
    <w:p>
      <w:pPr>
        <w:pStyle w:val="FirstParagraph"/>
      </w:pPr>
      <w:r>
        <w:t xml:space="preserve">No. 45, Valiasr Street, Near 15th Street</w:t>
      </w:r>
      <w:r>
        <w:br/>
      </w:r>
      <w:r>
        <w:t xml:space="preserve">Tehran, Iran</w:t>
      </w:r>
      <w:r>
        <w:br/>
      </w:r>
      <w:r>
        <w:t xml:space="preserve">Postal Code: 19697-45678</w:t>
      </w:r>
      <w:r>
        <w:br/>
      </w:r>
      <w:r>
        <w:t xml:space="preserve">Phone: +98 21 2233 4455</w:t>
      </w:r>
      <w:r>
        <w:br/>
      </w:r>
      <w:r>
        <w:t xml:space="preserve">Email: contact@drhosseini-clinic.ir</w:t>
      </w:r>
    </w:p>
    <w:p>
      <w:pPr>
        <w:pStyle w:val="BodyText"/>
      </w:pPr>
      <w:r>
        <w:t xml:space="preserve">Medical Council License No: 12345678</w:t>
      </w:r>
      <w:r>
        <w:br/>
      </w:r>
      <w:r>
        <w:t xml:space="preserve">Tax ID: 10293847561</w:t>
      </w:r>
    </w:p>
    <w:bookmarkEnd w:id="20"/>
    <w:bookmarkEnd w:id="21"/>
    <w:bookmarkStart w:id="22" w:name="invoice"/>
    <w:p>
      <w:pPr>
        <w:pStyle w:val="Heading1"/>
      </w:pPr>
      <w:r>
        <w:t xml:space="preserve">INVOICE</w:t>
      </w:r>
    </w:p>
    <w:p>
      <w:pPr>
        <w:pStyle w:val="FirstParagraph"/>
      </w:pPr>
      <w:r>
        <w:rPr>
          <w:bCs/>
          <w:b/>
        </w:rPr>
        <w:t xml:space="preserve">Invoice #:</w:t>
      </w:r>
      <w:r>
        <w:t xml:space="preserve"> </w:t>
      </w:r>
      <w:r>
        <w:t xml:space="preserve">INV-2023-10-089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October 24, 2023</w:t>
      </w:r>
    </w:p>
    <w:bookmarkEnd w:id="22"/>
    <w:p>
      <w:pPr>
        <w:pStyle w:val="BodyText"/>
      </w:pPr>
      <w:r>
        <w:t xml:space="preserve">Bill To (Patient Information)</w:t>
      </w:r>
    </w:p>
    <w:p>
      <w:pPr>
        <w:pStyle w:val="BodyText"/>
      </w:pPr>
      <w:r>
        <w:rPr>
          <w:bCs/>
          <w:b/>
        </w:rPr>
        <w:t xml:space="preserve">Name:</w:t>
      </w:r>
      <w:r>
        <w:t xml:space="preserve"> </w:t>
      </w:r>
      <w:r>
        <w:t xml:space="preserve">Mr. Reza Ahmadi</w:t>
      </w:r>
      <w:r>
        <w:br/>
      </w:r>
      <w:r>
        <w:rPr>
          <w:bCs/>
          <w:b/>
        </w:rPr>
        <w:t xml:space="preserve">National ID:</w:t>
      </w:r>
      <w:r>
        <w:t xml:space="preserve"> </w:t>
      </w:r>
      <w:r>
        <w:t xml:space="preserve">0012345678</w:t>
      </w:r>
      <w:r>
        <w:br/>
      </w:r>
      <w:r>
        <w:rPr>
          <w:bCs/>
          <w:b/>
        </w:rPr>
        <w:t xml:space="preserve">Address:</w:t>
      </w:r>
      <w:r>
        <w:t xml:space="preserve"> </w:t>
      </w:r>
      <w:r>
        <w:t xml:space="preserve">No. 12, Shariati Avenue, Zone 6</w:t>
      </w:r>
      <w:r>
        <w:br/>
      </w:r>
      <w:r>
        <w:t xml:space="preserve">Tehran, Iran</w:t>
      </w:r>
      <w:r>
        <w:br/>
      </w:r>
      <w:r>
        <w:rPr>
          <w:bCs/>
          <w:b/>
        </w:rPr>
        <w:t xml:space="preserve">Phone:</w:t>
      </w:r>
      <w:r>
        <w:t xml:space="preserve"> </w:t>
      </w:r>
      <w:r>
        <w:t xml:space="preserve">+98 912 345 6789</w:t>
      </w:r>
    </w:p>
    <w:p>
      <w:pPr>
        <w:pStyle w:val="BodyText"/>
      </w:pPr>
      <w:r>
        <w:t xml:space="preserve">Insurance / Payment Details</w:t>
      </w:r>
    </w:p>
    <w:p>
      <w:pPr>
        <w:pStyle w:val="BodyText"/>
      </w:pPr>
      <w:r>
        <w:rPr>
          <w:bCs/>
          <w:b/>
        </w:rPr>
        <w:t xml:space="preserve">Insurance Provider:</w:t>
      </w:r>
      <w:r>
        <w:t xml:space="preserve"> </w:t>
      </w:r>
      <w:r>
        <w:t xml:space="preserve">Iran Insurance Company</w:t>
      </w:r>
      <w:r>
        <w:br/>
      </w:r>
      <w:r>
        <w:rPr>
          <w:bCs/>
          <w:b/>
        </w:rPr>
        <w:t xml:space="preserve">Policy Number:</w:t>
      </w:r>
      <w:r>
        <w:t xml:space="preserve"> </w:t>
      </w:r>
      <w:r>
        <w:t xml:space="preserve">INS-IR-998877</w:t>
      </w:r>
      <w:r>
        <w:br/>
      </w:r>
      <w:r>
        <w:rPr>
          <w:bCs/>
          <w:b/>
        </w:rPr>
        <w:t xml:space="preserve">Referral Code:</w:t>
      </w:r>
      <w:r>
        <w:t xml:space="preserve"> </w:t>
      </w:r>
      <w:r>
        <w:t xml:space="preserve">REF-TEH-554</w:t>
      </w:r>
      <w:r>
        <w:br/>
      </w:r>
      <w:r>
        <w:rPr>
          <w:bCs/>
          <w:b/>
        </w:rPr>
        <w:t xml:space="preserve">Payment Method:</w:t>
      </w:r>
      <w:r>
        <w:t xml:space="preserve"> </w:t>
      </w:r>
      <w:r>
        <w:t xml:space="preserve">Cash / Bank Card (Shetab Network)</w:t>
      </w:r>
    </w:p>
    <w:p>
      <w:pPr>
        <w:pStyle w:val="BodyText"/>
      </w:pPr>
      <w:r>
        <w:t xml:space="preserve">Description of Medical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Amount (IRR)</w:t>
            </w:r>
          </w:p>
        </w:tc>
      </w:tr>
      <w:tr>
        <w:tc>
          <w:tcPr/>
          <w:p>
            <w:pPr>
              <w:pStyle w:val="Compact"/>
              <w:jc w:val="left"/>
            </w:pPr>
            <w:r>
              <w:t xml:space="preserve">1</w:t>
            </w:r>
          </w:p>
        </w:tc>
        <w:tc>
          <w:tcPr/>
          <w:p>
            <w:pPr>
              <w:pStyle w:val="Compact"/>
              <w:jc w:val="left"/>
            </w:pPr>
            <w:r>
              <w:rPr>
                <w:bCs/>
                <w:b/>
              </w:rPr>
              <w:t xml:space="preserve">Initial Consultation with General Practitioner</w:t>
            </w:r>
            <w:r>
              <w:br/>
            </w:r>
            <w:r>
              <w:t xml:space="preserve">Comprehensive history taking, physical examination, and preliminary diagnosis for acute respiratory symptoms. Includes review of current medications and medical history.</w:t>
            </w:r>
          </w:p>
        </w:tc>
        <w:tc>
          <w:tcPr/>
          <w:p>
            <w:pPr>
              <w:pStyle w:val="Compact"/>
              <w:jc w:val="left"/>
            </w:pPr>
            <w:r>
              <w:t xml:space="preserve">GP-001</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Chest X-Ray Interpretation</w:t>
            </w:r>
            <w:r>
              <w:br/>
            </w:r>
            <w:r>
              <w:t xml:space="preserve">Radiological assessment and clinical correlation for suspected bronchitis. Report generated and added to patient file.</w:t>
            </w:r>
          </w:p>
        </w:tc>
        <w:tc>
          <w:tcPr/>
          <w:p>
            <w:pPr>
              <w:pStyle w:val="Compact"/>
              <w:jc w:val="left"/>
            </w:pPr>
            <w:r>
              <w:t xml:space="preserve">RAD-005</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Complete Blood Count (CBC) Analysis</w:t>
            </w:r>
            <w:r>
              <w:br/>
            </w:r>
            <w:r>
              <w:t xml:space="preserve">Laboratory test interpretation to assess infection markers and overall blood health.</w:t>
            </w:r>
          </w:p>
        </w:tc>
        <w:tc>
          <w:tcPr/>
          <w:p>
            <w:pPr>
              <w:pStyle w:val="Compact"/>
              <w:jc w:val="left"/>
            </w:pPr>
            <w:r>
              <w:t xml:space="preserve">LAB-012</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Prescription and Medication Counseling</w:t>
            </w:r>
            <w:r>
              <w:br/>
            </w:r>
            <w:r>
              <w:t xml:space="preserve">Detailed explanation of prescribed antibiotics and bronchodilators, including dosage instructions and potential side effects.</w:t>
            </w:r>
          </w:p>
        </w:tc>
        <w:tc>
          <w:tcPr/>
          <w:p>
            <w:pPr>
              <w:pStyle w:val="Compact"/>
              <w:jc w:val="left"/>
            </w:pPr>
            <w:r>
              <w:t xml:space="preserve">GP-010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Follow-up Consultation</w:t>
            </w:r>
            <w:r>
              <w:br/>
            </w:r>
            <w:r>
              <w:t xml:space="preserve">Scheduled review of treatment progress and symptom management.</w:t>
            </w:r>
          </w:p>
        </w:tc>
        <w:tc>
          <w:tcPr/>
          <w:p>
            <w:pPr>
              <w:pStyle w:val="Compact"/>
              <w:jc w:val="left"/>
            </w:pPr>
            <w:r>
              <w:t xml:space="preserve">GP-002</w:t>
            </w:r>
          </w:p>
        </w:tc>
        <w:tc>
          <w:tcPr/>
          <w:p>
            <w:pPr>
              <w:pStyle w:val="Compact"/>
              <w:jc w:val="left"/>
            </w:pPr>
            <w:r>
              <w:t xml:space="preserve">1</w:t>
            </w:r>
          </w:p>
        </w:tc>
        <w:tc>
          <w:tcPr/>
          <w:p>
            <w:pPr>
              <w:pStyle w:val="Compact"/>
              <w:jc w:val="left"/>
            </w:pPr>
            <w:r>
              <w:t xml:space="preserve">600,000</w:t>
            </w:r>
          </w:p>
        </w:tc>
      </w:tr>
    </w:tbl>
    <w:p>
      <w:pPr>
        <w:pStyle w:val="BodyText"/>
      </w:pPr>
      <w:r>
        <w:t xml:space="preserve">Subtotal:</w:t>
      </w:r>
      <w:r>
        <w:t xml:space="preserve"> </w:t>
      </w:r>
      <w:r>
        <w:t xml:space="preserve">2,350,000 IRR</w:t>
      </w:r>
    </w:p>
    <w:p>
      <w:pPr>
        <w:pStyle w:val="BodyText"/>
      </w:pPr>
      <w:r>
        <w:t xml:space="preserve">Insurance Coverage (70%):</w:t>
      </w:r>
      <w:r>
        <w:t xml:space="preserve"> </w:t>
      </w:r>
      <w:r>
        <w:t xml:space="preserve">-1,645,000 IRR</w:t>
      </w:r>
    </w:p>
    <w:p>
      <w:pPr>
        <w:pStyle w:val="BodyText"/>
      </w:pPr>
      <w:r>
        <w:t xml:space="preserve">Patient Responsibility (30%):</w:t>
      </w:r>
      <w:r>
        <w:t xml:space="preserve"> </w:t>
      </w:r>
      <w:r>
        <w:t xml:space="preserve">705,000 IRR</w:t>
      </w:r>
    </w:p>
    <w:p>
      <w:pPr>
        <w:pStyle w:val="BodyText"/>
      </w:pPr>
      <w:r>
        <w:t xml:space="preserve">Discount (Loyalty Program):</w:t>
      </w:r>
      <w:r>
        <w:t xml:space="preserve"> </w:t>
      </w:r>
      <w:r>
        <w:t xml:space="preserve">-50,000 IRR</w:t>
      </w:r>
    </w:p>
    <w:p>
      <w:pPr>
        <w:pStyle w:val="BodyText"/>
      </w:pPr>
      <w:r>
        <w:t xml:space="preserve">Total Due:</w:t>
      </w:r>
      <w:r>
        <w:t xml:space="preserve"> </w:t>
      </w:r>
      <w:r>
        <w:t xml:space="preserve">655,000 IRR</w:t>
      </w:r>
    </w:p>
    <w:p>
      <w:pPr>
        <w:pStyle w:val="BodyText"/>
      </w:pPr>
      <w:r>
        <w:t xml:space="preserve">Terms, Conditions, and Important Notes</w:t>
      </w:r>
    </w:p>
    <w:p>
      <w:pPr>
        <w:pStyle w:val="BodyText"/>
      </w:pPr>
      <w:r>
        <w:t xml:space="preserve">This</w:t>
      </w:r>
      <w:r>
        <w:t xml:space="preserve"> </w:t>
      </w:r>
      <w:r>
        <w:rPr>
          <w:bCs/>
          <w:b/>
        </w:rPr>
        <w:t xml:space="preserve">Invoice</w:t>
      </w:r>
      <w:r>
        <w:t xml:space="preserve"> </w:t>
      </w:r>
      <w:r>
        <w:t xml:space="preserve">serves as an official record of medical services provided by Dr. Aria Hosseini, a licensed</w:t>
      </w:r>
      <w:r>
        <w:t xml:space="preserve"> </w:t>
      </w:r>
      <w:r>
        <w:rPr>
          <w:bCs/>
          <w:b/>
        </w:rPr>
        <w:t xml:space="preserve">Doctor General Practitioner</w:t>
      </w:r>
      <w:r>
        <w:t xml:space="preserve">, located in</w:t>
      </w:r>
      <w:r>
        <w:t xml:space="preserve"> </w:t>
      </w:r>
      <w:r>
        <w:rPr>
          <w:bCs/>
          <w:b/>
        </w:rPr>
        <w:t xml:space="preserve">Iran Tehran</w:t>
      </w:r>
      <w:r>
        <w:t xml:space="preserve">. The amounts listed are in Iranian Rials (IRR).</w:t>
      </w:r>
    </w:p>
    <w:p>
      <w:pPr>
        <w:pStyle w:val="BodyText"/>
      </w:pPr>
      <w:r>
        <w:rPr>
          <w:bCs/>
          <w:b/>
        </w:rPr>
        <w:t xml:space="preserve">Payment Terms:</w:t>
      </w:r>
      <w:r>
        <w:t xml:space="preserve"> </w:t>
      </w:r>
      <w:r>
        <w:t xml:space="preserve">Payment is expected at the time of service. We accept cash, local bank cards via the Shetab network, and direct bank transfers. For insurance claims, please ensure your policy is active and valid. The clinic will submit the necessary documentation to the insurance provider on behalf of the patient, but the patient is responsible for any co-payments or deductibles as outlined in their policy.</w:t>
      </w:r>
    </w:p>
    <w:p>
      <w:pPr>
        <w:pStyle w:val="BodyText"/>
      </w:pPr>
      <w:r>
        <w:rPr>
          <w:bCs/>
          <w:b/>
        </w:rPr>
        <w:t xml:space="preserve">Medical Disclaimer:</w:t>
      </w:r>
      <w:r>
        <w:t xml:space="preserve"> </w:t>
      </w:r>
      <w:r>
        <w:t xml:space="preserve">The services rendered are based on the professional judgment of the</w:t>
      </w:r>
      <w:r>
        <w:t xml:space="preserve"> </w:t>
      </w:r>
      <w:r>
        <w:rPr>
          <w:bCs/>
          <w:b/>
        </w:rPr>
        <w:t xml:space="preserve">Doctor General Practitioner</w:t>
      </w:r>
      <w:r>
        <w:t xml:space="preserve"> </w:t>
      </w:r>
      <w:r>
        <w:t xml:space="preserve">at the time of the consultation. This</w:t>
      </w:r>
      <w:r>
        <w:t xml:space="preserve"> </w:t>
      </w:r>
      <w:r>
        <w:rPr>
          <w:bCs/>
          <w:b/>
        </w:rPr>
        <w:t xml:space="preserve">Invoice</w:t>
      </w:r>
      <w:r>
        <w:t xml:space="preserve"> </w:t>
      </w:r>
      <w:r>
        <w:t xml:space="preserve">does not constitute a guarantee of specific medical outcomes. Patients are advised to follow all prescribed treatment plans and seek immediate emergency care if symptoms worsen.</w:t>
      </w:r>
    </w:p>
    <w:p>
      <w:pPr>
        <w:pStyle w:val="BodyText"/>
      </w:pPr>
      <w:r>
        <w:rPr>
          <w:bCs/>
          <w:b/>
        </w:rPr>
        <w:t xml:space="preserve">Privacy Policy:</w:t>
      </w:r>
      <w:r>
        <w:t xml:space="preserve"> </w:t>
      </w:r>
      <w:r>
        <w:t xml:space="preserve">In accordance with the health regulations of</w:t>
      </w:r>
      <w:r>
        <w:t xml:space="preserve"> </w:t>
      </w:r>
      <w:r>
        <w:rPr>
          <w:bCs/>
          <w:b/>
        </w:rPr>
        <w:t xml:space="preserve">Iran Tehran</w:t>
      </w:r>
      <w:r>
        <w:t xml:space="preserve"> </w:t>
      </w:r>
      <w:r>
        <w:t xml:space="preserve">and national privacy laws, all patient information contained in this</w:t>
      </w:r>
      <w:r>
        <w:t xml:space="preserve"> </w:t>
      </w:r>
      <w:r>
        <w:rPr>
          <w:bCs/>
          <w:b/>
        </w:rPr>
        <w:t xml:space="preserve">Invoice</w:t>
      </w:r>
      <w:r>
        <w:t xml:space="preserve"> </w:t>
      </w:r>
      <w:r>
        <w:t xml:space="preserve">and associated medical records is confidential and will not be disclosed to third parties without explicit consent, except as required by law.</w:t>
      </w:r>
    </w:p>
    <w:p>
      <w:pPr>
        <w:pStyle w:val="BodyText"/>
      </w:pPr>
      <w:r>
        <w:rPr>
          <w:bCs/>
          <w:b/>
        </w:rPr>
        <w:t xml:space="preserve">Refund Policy:</w:t>
      </w:r>
      <w:r>
        <w:t xml:space="preserve"> </w:t>
      </w:r>
      <w:r>
        <w:t xml:space="preserve">Refunds for medical consultations are generally not provided once the service has been rendered. In cases of scheduling errors or clinic-initiated cancellations, a full refund or rescheduling option will be offered. Please contact the clinic administration within 7 days of this</w:t>
      </w:r>
      <w:r>
        <w:t xml:space="preserve"> </w:t>
      </w:r>
      <w:r>
        <w:rPr>
          <w:bCs/>
          <w:b/>
        </w:rPr>
        <w:t xml:space="preserve">Invoice</w:t>
      </w:r>
      <w:r>
        <w:t xml:space="preserve"> </w:t>
      </w:r>
      <w:r>
        <w:t xml:space="preserve">date for any discrepancies.</w:t>
      </w:r>
    </w:p>
    <w:p>
      <w:pPr>
        <w:pStyle w:val="BodyText"/>
      </w:pPr>
      <w:r>
        <w:rPr>
          <w:bCs/>
          <w:b/>
        </w:rPr>
        <w:t xml:space="preserve">Contact Information:</w:t>
      </w:r>
      <w:r>
        <w:t xml:space="preserve"> </w:t>
      </w:r>
      <w:r>
        <w:t xml:space="preserve">For any questions regarding this</w:t>
      </w:r>
      <w:r>
        <w:t xml:space="preserve"> </w:t>
      </w:r>
      <w:r>
        <w:rPr>
          <w:bCs/>
          <w:b/>
        </w:rPr>
        <w:t xml:space="preserve">Invoice</w:t>
      </w:r>
      <w:r>
        <w:t xml:space="preserve">, please contact our billing department at +98 21 2233 4455 or visit our clinic in</w:t>
      </w:r>
      <w:r>
        <w:t xml:space="preserve"> </w:t>
      </w:r>
      <w:r>
        <w:rPr>
          <w:bCs/>
          <w:b/>
        </w:rPr>
        <w:t xml:space="preserve">Iran Tehran</w:t>
      </w:r>
      <w:r>
        <w:t xml:space="preserve"> </w:t>
      </w:r>
      <w:r>
        <w:t xml:space="preserve">during business hours (Saturday to Wednesday, 9:00 AM - 5:00 PM).</w:t>
      </w:r>
    </w:p>
    <w:p>
      <w:pPr>
        <w:pStyle w:val="BodyText"/>
      </w:pPr>
      <w:r>
        <w:rPr>
          <w:bCs/>
          <w:b/>
        </w:rPr>
        <w:t xml:space="preserve">Authorized Signature</w:t>
      </w:r>
    </w:p>
    <w:p>
      <w:pPr>
        <w:pStyle w:val="BodyText"/>
      </w:pPr>
      <w:r>
        <w:t xml:space="preserve">Dr. Aria Hosseini</w:t>
      </w:r>
    </w:p>
    <w:p>
      <w:pPr>
        <w:pStyle w:val="BodyText"/>
      </w:pPr>
      <w:r>
        <w:t xml:space="preserve">General Practitioner</w:t>
      </w:r>
    </w:p>
    <w:p>
      <w:pPr>
        <w:pStyle w:val="BodyText"/>
      </w:pPr>
      <w:r>
        <w:rPr>
          <w:bCs/>
          <w:b/>
        </w:rPr>
        <w:t xml:space="preserve">Patient Acknowledgment</w:t>
      </w:r>
    </w:p>
    <w:p>
      <w:pPr>
        <w:pStyle w:val="BodyText"/>
      </w:pPr>
      <w:r>
        <w:t xml:space="preserve">Signature / Date</w:t>
      </w:r>
    </w:p>
    <w:p>
      <w:pPr>
        <w:pStyle w:val="BodyText"/>
      </w:pPr>
      <w:r>
        <w:t xml:space="preserve">This document is generated electronically and is valid without a physical stamp.</w:t>
      </w:r>
      <w:r>
        <w:br/>
      </w:r>
      <w:r>
        <w:t xml:space="preserve">Dr. Aria Hosseini Clinic | Tehran, Iran | www.drhosseini-clinic.ir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Tehran, Iran</dc:title>
  <dc:creator/>
  <dc:language>en</dc:language>
  <cp:keywords/>
  <dcterms:created xsi:type="dcterms:W3CDTF">2026-10-10T06:57:09Z</dcterms:created>
  <dcterms:modified xsi:type="dcterms:W3CDTF">2026-10-10T06:57:09Z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