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Services</w:t>
      </w:r>
    </w:p>
    <w:bookmarkStart w:id="21" w:name="dr.-elena-rodriguez-md"/>
    <w:p>
      <w:pPr>
        <w:pStyle w:val="Heading1"/>
      </w:pPr>
      <w:r>
        <w:t xml:space="preserve">Dr. Elena Rodriguez, MD</w:t>
      </w:r>
    </w:p>
    <w:bookmarkStart w:id="20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rPr>
          <w:bCs/>
          <w:b/>
        </w:rPr>
        <w:t xml:space="preserve">Houston Family Health Associates</w:t>
      </w:r>
    </w:p>
    <w:p>
      <w:pPr>
        <w:pStyle w:val="BodyText"/>
      </w:pPr>
      <w:r>
        <w:t xml:space="preserve">1200 Main Street, Suite 400</w:t>
      </w:r>
    </w:p>
    <w:p>
      <w:pPr>
        <w:pStyle w:val="BodyText"/>
      </w:pPr>
      <w:r>
        <w:t xml:space="preserve">Houston, TX 77002</w:t>
      </w:r>
    </w:p>
    <w:p>
      <w:pPr>
        <w:pStyle w:val="BodyText"/>
      </w:pPr>
      <w:r>
        <w:t xml:space="preserve">United States Houston</w:t>
      </w:r>
    </w:p>
    <w:p>
      <w:pPr>
        <w:pStyle w:val="BodyText"/>
      </w:pPr>
      <w:r>
        <w:t xml:space="preserve">Phone: (713) 555-0199</w:t>
      </w:r>
    </w:p>
    <w:p>
      <w:pPr>
        <w:pStyle w:val="BodyText"/>
      </w:pPr>
      <w:r>
        <w:t xml:space="preserve">Email: billing@houstonfamilyhealth.com</w:t>
      </w:r>
    </w:p>
    <w:p>
      <w:pPr>
        <w:pStyle w:val="BodyText"/>
      </w:pPr>
      <w:r>
        <w:t xml:space="preserve">NPI: 1234567890 | TX License: 098765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2"/>
    <w:bookmarkStart w:id="23" w:name="billed-to-patient"/>
    <w:p>
      <w:pPr>
        <w:pStyle w:val="Heading4"/>
      </w:pPr>
      <w:r>
        <w:t xml:space="preserve">Billed To (Patient)</w:t>
      </w:r>
    </w:p>
    <w:p>
      <w:pPr>
        <w:pStyle w:val="FirstParagraph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4500 Westheimer Road, Apt 12B</w:t>
      </w:r>
    </w:p>
    <w:p>
      <w:pPr>
        <w:pStyle w:val="BodyText"/>
      </w:pPr>
      <w:r>
        <w:t xml:space="preserve">Houston, TX 77027</w:t>
      </w:r>
    </w:p>
    <w:p>
      <w:pPr>
        <w:pStyle w:val="BodyText"/>
      </w:pPr>
      <w:r>
        <w:t xml:space="preserve">United States Houston</w:t>
      </w:r>
    </w:p>
    <w:p>
      <w:pPr>
        <w:pStyle w:val="BodyText"/>
      </w:pPr>
      <w:r>
        <w:t xml:space="preserve">Date of Birth: 05/12/1985</w:t>
      </w:r>
    </w:p>
    <w:p>
      <w:pPr>
        <w:pStyle w:val="BodyText"/>
      </w:pPr>
      <w:r>
        <w:t xml:space="preserve">Phone: (281) 555-0123</w:t>
      </w:r>
    </w:p>
    <w:bookmarkEnd w:id="23"/>
    <w:bookmarkStart w:id="24" w:name="insurance-information"/>
    <w:p>
      <w:pPr>
        <w:pStyle w:val="Heading4"/>
      </w:pPr>
      <w:r>
        <w:t xml:space="preserve">Insurance Information</w:t>
      </w:r>
    </w:p>
    <w:p>
      <w:pPr>
        <w:pStyle w:val="FirstParagraph"/>
      </w:pPr>
      <w:r>
        <w:rPr>
          <w:bCs/>
          <w:b/>
        </w:rPr>
        <w:t xml:space="preserve">Blue Cross Blue Shield of Texas</w:t>
      </w:r>
    </w:p>
    <w:p>
      <w:pPr>
        <w:pStyle w:val="BodyText"/>
      </w:pPr>
      <w:r>
        <w:t xml:space="preserve">Policy Number: BCBS-TX-99887766</w:t>
      </w:r>
    </w:p>
    <w:p>
      <w:pPr>
        <w:pStyle w:val="BodyText"/>
      </w:pPr>
      <w:r>
        <w:t xml:space="preserve">Group Number: GRP-HOU-5544</w:t>
      </w:r>
    </w:p>
    <w:p>
      <w:pPr>
        <w:pStyle w:val="BodyText"/>
      </w:pPr>
      <w:r>
        <w:t xml:space="preserve">Subscriber: James Anderson</w:t>
      </w:r>
    </w:p>
    <w:p>
      <w:pPr>
        <w:pStyle w:val="BodyText"/>
      </w:pPr>
      <w:r>
        <w:t xml:space="preserve">Relationship: Self</w:t>
      </w:r>
    </w:p>
    <w:p>
      <w:pPr>
        <w:pStyle w:val="BodyText"/>
      </w:pPr>
      <w:r>
        <w:rPr>
          <w:bCs/>
          <w:b/>
        </w:rPr>
        <w:t xml:space="preserve">Referring Physician:</w:t>
      </w:r>
      <w:r>
        <w:t xml:space="preserve"> </w:t>
      </w:r>
      <w:r>
        <w:t xml:space="preserve">None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ICD-10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Charge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10/24/2023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or other outpatient visit for the evaluation and management of an established patient; which requires at least two of these three key components: medically appropriate history and/or examination and medical decision making of low complexity.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10/24/2023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36415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Collection of venous blood by venipuncture. Performed by Doctor General Practitioner to assess general health markers.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10/24/2023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metabolic panel (14 components): bilirubin, total; cholesterol, total; creatinine; glucose; potassium; sodium; carbon dioxide, total; chloride; albumin; protein, total; calcium; and serum enzymes (ALT [SGPT], alkaline phosphatase, and amylase).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10/24/2023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blood count (CBC) with automated differential. Essential screening for a Doctor General Practitioner in Houston.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10/24/2023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90471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Immunization administration via any route (includes percutaneous, intradermal, subcutaneous, or intramuscular injection); 1-2 vaccine/toxoid components.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10/24/2023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90658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Influenza, seasonal, injectable, preservative free. Administered during routine check-up.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10/24/2023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or other outpatient visit for the evaluation and management of an established patient; which may not require the presence of a physician or other qualified health care professional.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Z79.899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 (Est.):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-$210.00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Payment (Est.):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Responsibility: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</w:tr>
    </w:tbl>
    <w:bookmarkStart w:id="25" w:name="payment-instructions-important-notes"/>
    <w:p>
      <w:pPr>
        <w:pStyle w:val="Heading5"/>
      </w:pPr>
      <w:r>
        <w:t xml:space="preserve">Payment Instructions &amp; Important Notes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financial statement for medical services rendered by Dr. Elena Rodriguez, a licensed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, located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Please review the charges carefully.</w:t>
      </w:r>
    </w:p>
    <w:p>
      <w:pPr>
        <w:pStyle w:val="BodyText"/>
      </w:pPr>
      <w:r>
        <w:rPr>
          <w:bCs/>
          <w:b/>
        </w:rPr>
        <w:t xml:space="preserve">Payment Methods Accepted: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Online Payment:</w:t>
      </w:r>
      <w:r>
        <w:t xml:space="preserve"> </w:t>
      </w:r>
      <w:r>
        <w:t xml:space="preserve">Please visit our secure patient portal at</w:t>
      </w:r>
      <w:r>
        <w:t xml:space="preserve"> </w:t>
      </w:r>
      <w:r>
        <w:rPr>
          <w:iCs/>
          <w:i/>
        </w:rPr>
        <w:t xml:space="preserve">portal.houstonfamilyhealth.com</w:t>
      </w:r>
      <w:r>
        <w:t xml:space="preserve"> </w:t>
      </w:r>
      <w:r>
        <w:t xml:space="preserve">to pay this invoice using a credit card or bank transfer.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Mail:</w:t>
      </w:r>
      <w:r>
        <w:t xml:space="preserve"> </w:t>
      </w:r>
      <w:r>
        <w:t xml:space="preserve">Send checks or money orders payable to "Houston Family Health Associates" to the address listed in the header.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In-Person:</w:t>
      </w:r>
      <w:r>
        <w:t xml:space="preserve"> </w:t>
      </w:r>
      <w:r>
        <w:t xml:space="preserve">Payments can be made at our front desk during business hours (Monday-Friday, 8:00 AM - 5:00 PM CST).</w:t>
      </w:r>
    </w:p>
    <w:p>
      <w:pPr>
        <w:pStyle w:val="FirstParagraph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We have submitted the primary claim to your insurance provider. The amounts listed above are estimates based on your plan's benefits. If your insurance processes differently, a credit or additional balance may be adjusted within 30 days.</w:t>
      </w:r>
    </w:p>
    <w:p>
      <w:pPr>
        <w:pStyle w:val="BodyText"/>
      </w:pPr>
      <w:r>
        <w:rPr>
          <w:bCs/>
          <w:b/>
        </w:rPr>
        <w:t xml:space="preserve">Late Fees:</w:t>
      </w:r>
      <w:r>
        <w:t xml:space="preserve"> </w:t>
      </w:r>
      <w:r>
        <w:t xml:space="preserve">As per our practice policy in Houston, Texas, accounts unpaid after 60 days from the date of this invoice may be subject to a late fee of 1.5% per month or may be referred to a collection agency.</w:t>
      </w:r>
    </w:p>
    <w:p>
      <w:pPr>
        <w:pStyle w:val="BodyText"/>
      </w:pPr>
      <w:r>
        <w:rPr>
          <w:bCs/>
          <w:b/>
        </w:rPr>
        <w:t xml:space="preserve">Questions?</w:t>
      </w:r>
      <w:r>
        <w:t xml:space="preserve"> </w:t>
      </w:r>
      <w:r>
        <w:t xml:space="preserve">If you have any questions regarding this invoice or the services provided by your Doctor General Practitioner, please contact our billing department at (713) 555-0199 ext. 202.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Elena Rodriguez, MD</w:t>
      </w:r>
    </w:p>
    <w:p>
      <w:pPr>
        <w:pStyle w:val="BodyText"/>
      </w:pPr>
      <w:r>
        <w:t xml:space="preserve">Doctor General Practitioner</w:t>
      </w:r>
    </w:p>
    <w:p>
      <w:pPr>
        <w:pStyle w:val="BodyText"/>
      </w:pPr>
      <w:r>
        <w:rPr>
          <w:bCs/>
          <w:b/>
        </w:rPr>
        <w:t xml:space="preserve">Patient Acknowledgement</w:t>
      </w:r>
    </w:p>
    <w:p>
      <w:pPr>
        <w:pStyle w:val="BodyText"/>
      </w:pPr>
      <w:r>
        <w:t xml:space="preserve">I acknowledge receipt of this invoice.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Houston Family Health Associates | 1200 Main Street, Suite 400, Houston, TX 77002 | United States Houston</w:t>
      </w:r>
    </w:p>
    <w:p>
      <w:pPr>
        <w:pStyle w:val="BodyText"/>
      </w:pPr>
      <w:r>
        <w:t xml:space="preserve">This document is a valid financial record. Please retain for your tax and medical records.</w:t>
      </w:r>
    </w:p>
    <w:p>
      <w:pPr>
        <w:pStyle w:val="BodyText"/>
      </w:pPr>
      <w:r>
        <w:t xml:space="preserve">© 2023 Houston Family Health Associates.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Services</dc:title>
  <dc:creator/>
  <dc:language>en</dc:language>
  <cp:keywords/>
  <dcterms:created xsi:type="dcterms:W3CDTF">2026-10-10T07:34:53Z</dcterms:created>
  <dcterms:modified xsi:type="dcterms:W3CDTF">2026-10-10T07:34:53Z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