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York</w:t>
      </w:r>
      <w:r>
        <w:t xml:space="preserve"> </w:t>
      </w:r>
      <w:r>
        <w:t xml:space="preserve">City</w:t>
      </w:r>
    </w:p>
    <w:bookmarkStart w:id="21" w:name="dr.-eleanor-vance-md"/>
    <w:p>
      <w:pPr>
        <w:pStyle w:val="Heading1"/>
      </w:pPr>
      <w:r>
        <w:t xml:space="preserve">Dr. Eleanor Vance, MD</w:t>
      </w:r>
    </w:p>
    <w:bookmarkStart w:id="20" w:name="Xc0c8e79763161d2d6fc9cdd0823c38225637f7a"/>
    <w:p>
      <w:pPr>
        <w:pStyle w:val="Heading2"/>
      </w:pPr>
      <w:r>
        <w:t xml:space="preserve">Board-Certified Doctor General Practitioner</w:t>
      </w:r>
    </w:p>
    <w:p>
      <w:pPr>
        <w:pStyle w:val="FirstParagraph"/>
      </w:pPr>
      <w:r>
        <w:t xml:space="preserve">Manhattan Family Medicine Associates</w:t>
      </w:r>
      <w:r>
        <w:br/>
      </w:r>
      <w:r>
        <w:t xml:space="preserve">123 West 57th Street, Suite 400</w:t>
      </w:r>
      <w:r>
        <w:br/>
      </w:r>
      <w:r>
        <w:t xml:space="preserve">New York, NY 10019</w:t>
      </w:r>
      <w:r>
        <w:br/>
      </w:r>
      <w:r>
        <w:t xml:space="preserve">United States New York City</w:t>
      </w:r>
      <w:r>
        <w:br/>
      </w:r>
      <w:r>
        <w:t xml:space="preserve">Phone: (212) 555-0198</w:t>
      </w:r>
      <w:r>
        <w:br/>
      </w:r>
      <w:r>
        <w:t xml:space="preserve">Fax: (212) 555-0199</w:t>
      </w:r>
      <w:r>
        <w:br/>
      </w:r>
      <w:r>
        <w:t xml:space="preserve">NPI: 1234567890</w:t>
      </w:r>
      <w:r>
        <w:br/>
      </w:r>
      <w:r>
        <w:t xml:space="preserve">NY State License: MD-1234567</w:t>
      </w:r>
      <w:r>
        <w:br/>
      </w:r>
      <w:r>
        <w:t xml:space="preserve">DEA: AB1234567</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Service Period:</w:t>
      </w:r>
      <w:r>
        <w:t xml:space="preserve"> </w:t>
      </w:r>
      <w:r>
        <w:t xml:space="preserve">October 15, 2023</w:t>
      </w:r>
    </w:p>
    <w:bookmarkEnd w:id="22"/>
    <w:p>
      <w:pPr>
        <w:pStyle w:val="BodyText"/>
      </w:pPr>
      <w:r>
        <w:t xml:space="preserve">Patient Information</w:t>
      </w:r>
    </w:p>
    <w:p>
      <w:pPr>
        <w:pStyle w:val="BodyText"/>
      </w:pPr>
      <w:r>
        <w:rPr>
          <w:bCs/>
          <w:b/>
        </w:rPr>
        <w:t xml:space="preserve">Name:</w:t>
      </w:r>
      <w:r>
        <w:t xml:space="preserve"> </w:t>
      </w:r>
      <w:r>
        <w:t xml:space="preserve">Jonathan A. Smith</w:t>
      </w:r>
      <w:r>
        <w:br/>
      </w:r>
      <w:r>
        <w:rPr>
          <w:bCs/>
          <w:b/>
        </w:rPr>
        <w:t xml:space="preserve">Address:</w:t>
      </w:r>
      <w:r>
        <w:t xml:space="preserve"> </w:t>
      </w:r>
      <w:r>
        <w:t xml:space="preserve">456 Park Avenue, Apt 12B, New York, NY 10022</w:t>
      </w:r>
      <w:r>
        <w:br/>
      </w:r>
      <w:r>
        <w:rPr>
          <w:bCs/>
          <w:b/>
        </w:rPr>
        <w:t xml:space="preserve">Date of Birth:</w:t>
      </w:r>
      <w:r>
        <w:t xml:space="preserve"> </w:t>
      </w:r>
      <w:r>
        <w:t xml:space="preserve">05/12/1985</w:t>
      </w:r>
      <w:r>
        <w:br/>
      </w:r>
      <w:r>
        <w:rPr>
          <w:bCs/>
          <w:b/>
        </w:rPr>
        <w:t xml:space="preserve">Phone:</w:t>
      </w:r>
      <w:r>
        <w:t xml:space="preserve"> </w:t>
      </w:r>
      <w:r>
        <w:t xml:space="preserve">(646) 555-0123</w:t>
      </w:r>
      <w:r>
        <w:br/>
      </w:r>
      <w:r>
        <w:rPr>
          <w:bCs/>
          <w:b/>
        </w:rPr>
        <w:t xml:space="preserve">SSN (Last 4):</w:t>
      </w:r>
      <w:r>
        <w:t xml:space="preserve"> </w:t>
      </w:r>
      <w:r>
        <w:t xml:space="preserve">****4567</w:t>
      </w:r>
    </w:p>
    <w:p>
      <w:pPr>
        <w:pStyle w:val="BodyText"/>
      </w:pPr>
      <w:r>
        <w:t xml:space="preserve">Primary Insurance Information</w:t>
      </w:r>
    </w:p>
    <w:p>
      <w:pPr>
        <w:pStyle w:val="BodyText"/>
      </w:pPr>
      <w:r>
        <w:rPr>
          <w:bCs/>
          <w:b/>
        </w:rPr>
        <w:t xml:space="preserve">Carrier:</w:t>
      </w:r>
      <w:r>
        <w:t xml:space="preserve"> </w:t>
      </w:r>
      <w:r>
        <w:t xml:space="preserve">Empire Blue Cross Blue Shield</w:t>
      </w:r>
      <w:r>
        <w:br/>
      </w:r>
      <w:r>
        <w:rPr>
          <w:bCs/>
          <w:b/>
        </w:rPr>
        <w:t xml:space="preserve">Policy Number:</w:t>
      </w:r>
      <w:r>
        <w:t xml:space="preserve"> </w:t>
      </w:r>
      <w:r>
        <w:t xml:space="preserve">EBC-987654321</w:t>
      </w:r>
      <w:r>
        <w:br/>
      </w:r>
      <w:r>
        <w:rPr>
          <w:bCs/>
          <w:b/>
        </w:rPr>
        <w:t xml:space="preserve">Group Number:</w:t>
      </w:r>
      <w:r>
        <w:t xml:space="preserve"> </w:t>
      </w:r>
      <w:r>
        <w:t xml:space="preserve">GRP-NY-555</w:t>
      </w:r>
      <w:r>
        <w:br/>
      </w:r>
      <w:r>
        <w:rPr>
          <w:bCs/>
          <w:b/>
        </w:rPr>
        <w:t xml:space="preserve">Subscriber Name:</w:t>
      </w:r>
      <w:r>
        <w:t xml:space="preserve"> </w:t>
      </w:r>
      <w:r>
        <w:t xml:space="preserve">Jonathan A. Smith</w:t>
      </w:r>
      <w:r>
        <w:br/>
      </w:r>
      <w:r>
        <w:rPr>
          <w:bCs/>
          <w:b/>
        </w:rPr>
        <w:t xml:space="preserve">Relationship:</w:t>
      </w:r>
      <w:r>
        <w:t xml:space="preserve"> </w:t>
      </w:r>
      <w:r>
        <w:t xml:space="preserve">Self</w:t>
      </w:r>
    </w:p>
    <w:p>
      <w:pPr>
        <w:pStyle w:val="BodyText"/>
      </w:pPr>
      <w:r>
        <w:t xml:space="preserve">Detailed Statement of Medical Services Rendered</w:t>
      </w:r>
    </w:p>
    <w:p>
      <w:pPr>
        <w:pStyle w:val="BodyText"/>
      </w:pPr>
      <w:r>
        <w:t xml:space="preserve">The following invoice details the professional fees charged by Dr. Eleanor Vance, a licensed Doctor General Practitioner operating within the jurisdiction of United States New York City. All services were rendered in accordance with standard medical practices and billing codes recognized by the Centers for Medicare &amp; Medicaid Services (CMS) and applicable New York State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 of Service</w:t>
            </w:r>
          </w:p>
        </w:tc>
        <w:tc>
          <w:tcPr/>
          <w:p>
            <w:pPr>
              <w:pStyle w:val="Compact"/>
              <w:jc w:val="left"/>
            </w:pPr>
            <w:r>
              <w:t xml:space="preserve">CPT Code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Charge Rate</w:t>
            </w:r>
          </w:p>
        </w:tc>
        <w:tc>
          <w:tcPr/>
          <w:p>
            <w:pPr>
              <w:pStyle w:val="Compact"/>
              <w:jc w:val="left"/>
            </w:pPr>
            <w:r>
              <w:t xml:space="preserve">Total Amount</w:t>
            </w:r>
          </w:p>
        </w:tc>
      </w:tr>
      <w:tr>
        <w:tc>
          <w:tcPr/>
          <w:p>
            <w:pPr>
              <w:pStyle w:val="Compact"/>
              <w:jc w:val="left"/>
            </w:pPr>
            <w:r>
              <w:t xml:space="preserve">10/15/2023</w:t>
            </w:r>
          </w:p>
        </w:tc>
        <w:tc>
          <w:tcPr/>
          <w:p>
            <w:pPr>
              <w:pStyle w:val="Compact"/>
              <w:jc w:val="left"/>
            </w:pPr>
            <w:r>
              <w:t xml:space="preserve">99214</w:t>
            </w:r>
          </w:p>
        </w:tc>
        <w:tc>
          <w:tcPr/>
          <w:p>
            <w:pPr>
              <w:pStyle w:val="Compact"/>
              <w:jc w:val="left"/>
            </w:pPr>
            <w:r>
              <w:t xml:space="preserve">Office or other outpatient visit for the evaluation and management of an established patient; which requires at least two of these three key components: medically appropriate history and/or examination and medical decision making of moderate complexity. Typical presenting problem is acute illness or exacerbation of chronic disease.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10/15/2023</w:t>
            </w:r>
          </w:p>
        </w:tc>
        <w:tc>
          <w:tcPr/>
          <w:p>
            <w:pPr>
              <w:pStyle w:val="Compact"/>
              <w:jc w:val="left"/>
            </w:pPr>
            <w:r>
              <w:t xml:space="preserve">96372</w:t>
            </w:r>
          </w:p>
        </w:tc>
        <w:tc>
          <w:tcPr/>
          <w:p>
            <w:pPr>
              <w:pStyle w:val="Compact"/>
              <w:jc w:val="left"/>
            </w:pPr>
            <w:r>
              <w:t xml:space="preserve">Therapeutic, prophylactic, or diagnostic injection (specify substance or drug); subcutaneous or intramuscular. Administration of prescribed medication during the consultation.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10/15/2023</w:t>
            </w:r>
          </w:p>
        </w:tc>
        <w:tc>
          <w:tcPr/>
          <w:p>
            <w:pPr>
              <w:pStyle w:val="Compact"/>
              <w:jc w:val="left"/>
            </w:pPr>
            <w:r>
              <w:t xml:space="preserve">80053</w:t>
            </w:r>
          </w:p>
        </w:tc>
        <w:tc>
          <w:tcPr/>
          <w:p>
            <w:pPr>
              <w:pStyle w:val="Compact"/>
              <w:jc w:val="left"/>
            </w:pPr>
            <w:r>
              <w:t xml:space="preserve">Comprehensive metabolic panel. This laboratory test includes measurement of glucose, calcium, electrolytes, and kidney and liver function markers, essential for the general practitioner's assessment of overall health status.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10/15/2023</w:t>
            </w:r>
          </w:p>
        </w:tc>
        <w:tc>
          <w:tcPr/>
          <w:p>
            <w:pPr>
              <w:pStyle w:val="Compact"/>
              <w:jc w:val="left"/>
            </w:pPr>
            <w:r>
              <w:t xml:space="preserve">85025</w:t>
            </w:r>
          </w:p>
        </w:tc>
        <w:tc>
          <w:tcPr/>
          <w:p>
            <w:pPr>
              <w:pStyle w:val="Compact"/>
              <w:jc w:val="left"/>
            </w:pPr>
            <w:r>
              <w:t xml:space="preserve">Complete blood count (CBC) with automated differential. Standard diagnostic procedure performed by the Doctor General Practitioner to evaluate overall health and detect a wide range of disorders.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10/15/2023</w:t>
            </w:r>
          </w:p>
        </w:tc>
        <w:tc>
          <w:tcPr/>
          <w:p>
            <w:pPr>
              <w:pStyle w:val="Compact"/>
              <w:jc w:val="left"/>
            </w:pPr>
            <w:r>
              <w:t xml:space="preserve">99241</w:t>
            </w:r>
          </w:p>
        </w:tc>
        <w:tc>
          <w:tcPr/>
          <w:p>
            <w:pPr>
              <w:pStyle w:val="Compact"/>
              <w:jc w:val="left"/>
            </w:pPr>
            <w:r>
              <w:t xml:space="preserve">Consultation for a new or established patient in an office setting. Initial assessment and care plan formulation specific to the patient's current condition within the United States New York City healthcare framework.</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(Charges)</w:t>
            </w:r>
          </w:p>
        </w:tc>
        <w:tc>
          <w:tcPr/>
          <w:p>
            <w:pPr>
              <w:pStyle w:val="Compact"/>
              <w:jc w:val="left"/>
            </w:pPr>
            <w:r>
              <w:t xml:space="preserve">$680.00</w:t>
            </w:r>
          </w:p>
        </w:tc>
      </w:tr>
      <w:tr>
        <w:tc>
          <w:tcPr/>
          <w:p>
            <w:pPr>
              <w:pStyle w:val="Compact"/>
              <w:jc w:val="left"/>
            </w:pPr>
            <w:r>
              <w:t xml:space="preserve">Insurance Adjustment (Contractual)</w:t>
            </w:r>
          </w:p>
        </w:tc>
        <w:tc>
          <w:tcPr/>
          <w:p>
            <w:pPr>
              <w:pStyle w:val="Compact"/>
              <w:jc w:val="left"/>
            </w:pPr>
            <w:r>
              <w:t xml:space="preserve">-$280.00</w:t>
            </w:r>
          </w:p>
        </w:tc>
      </w:tr>
      <w:tr>
        <w:tc>
          <w:tcPr/>
          <w:p>
            <w:pPr>
              <w:pStyle w:val="Compact"/>
              <w:jc w:val="left"/>
            </w:pPr>
            <w:r>
              <w:t xml:space="preserve">Insurance Payment Applied</w:t>
            </w:r>
          </w:p>
        </w:tc>
        <w:tc>
          <w:tcPr/>
          <w:p>
            <w:pPr>
              <w:pStyle w:val="Compact"/>
              <w:jc w:val="left"/>
            </w:pPr>
            <w:r>
              <w:t xml:space="preserve">-$300.00</w:t>
            </w:r>
          </w:p>
        </w:tc>
      </w:tr>
      <w:tr>
        <w:tc>
          <w:tcPr/>
          <w:p>
            <w:pPr>
              <w:pStyle w:val="Compact"/>
              <w:jc w:val="left"/>
            </w:pPr>
            <w:r>
              <w:t xml:space="preserve">Patient Copay/Coinsurance</w:t>
            </w:r>
          </w:p>
        </w:tc>
        <w:tc>
          <w:tcPr/>
          <w:p>
            <w:pPr>
              <w:pStyle w:val="Compact"/>
              <w:jc w:val="left"/>
            </w:pPr>
            <w:r>
              <w:t xml:space="preserve">$50.00</w:t>
            </w:r>
          </w:p>
        </w:tc>
      </w:tr>
      <w:tr>
        <w:tc>
          <w:tcPr/>
          <w:p>
            <w:pPr>
              <w:pStyle w:val="Compact"/>
              <w:jc w:val="left"/>
            </w:pPr>
            <w:r>
              <w:t xml:space="preserve">TOTAL DUE FROM PATIENT</w:t>
            </w:r>
          </w:p>
        </w:tc>
        <w:tc>
          <w:tcPr/>
          <w:p>
            <w:pPr>
              <w:pStyle w:val="Compact"/>
              <w:jc w:val="left"/>
            </w:pPr>
            <w:r>
              <w:t xml:space="preserve">$150.00</w:t>
            </w:r>
          </w:p>
        </w:tc>
      </w:tr>
    </w:tbl>
    <w:bookmarkStart w:id="23" w:name="Xc2f836f5b794fda460586665c92e3316964c9cb"/>
    <w:p>
      <w:pPr>
        <w:pStyle w:val="Heading4"/>
      </w:pPr>
      <w:r>
        <w:t xml:space="preserve">Payment Instructions and Important Notices</w:t>
      </w:r>
    </w:p>
    <w:p>
      <w:pPr>
        <w:pStyle w:val="FirstParagraph"/>
      </w:pPr>
      <w:r>
        <w:t xml:space="preserve">This invoice represents the financial obligation for medical services provided by Dr. Eleanor Vance, a Doctor General Practitioner, located in United States New York City. Please review the charges carefully. If you have any questions regarding specific CPT codes or the necessity of the procedures listed, please contact our billing department at (212) 555-0198.</w:t>
      </w:r>
    </w:p>
    <w:p>
      <w:pPr>
        <w:numPr>
          <w:ilvl w:val="0"/>
          <w:numId w:val="1001"/>
        </w:numPr>
        <w:pStyle w:val="Compact"/>
      </w:pPr>
      <w:r>
        <w:rPr>
          <w:bCs/>
          <w:b/>
        </w:rPr>
        <w:t xml:space="preserve">Payment Methods:</w:t>
      </w:r>
      <w:r>
        <w:t xml:space="preserve"> </w:t>
      </w:r>
      <w:r>
        <w:t xml:space="preserve">We accept Visa, MasterCard, American Express, Discover, personal checks, and cash. Online payments are available via our secure patient portal.</w:t>
      </w:r>
    </w:p>
    <w:p>
      <w:pPr>
        <w:numPr>
          <w:ilvl w:val="0"/>
          <w:numId w:val="1001"/>
        </w:numPr>
        <w:pStyle w:val="Compact"/>
      </w:pPr>
      <w:r>
        <w:rPr>
          <w:bCs/>
          <w:b/>
        </w:rPr>
        <w:t xml:space="preserve">Due Date:</w:t>
      </w:r>
      <w:r>
        <w:t xml:space="preserve"> </w:t>
      </w:r>
      <w:r>
        <w:t xml:space="preserve">Payment is due within 30 days of the invoice date. Late payments may be subject to a 1.5% monthly finance charge as permitted by New York State law.</w:t>
      </w:r>
    </w:p>
    <w:p>
      <w:pPr>
        <w:numPr>
          <w:ilvl w:val="0"/>
          <w:numId w:val="1001"/>
        </w:numPr>
        <w:pStyle w:val="Compact"/>
      </w:pPr>
      <w:r>
        <w:rPr>
          <w:bCs/>
          <w:b/>
        </w:rPr>
        <w:t xml:space="preserve">Insurance Claims:</w:t>
      </w:r>
      <w:r>
        <w:t xml:space="preserve"> </w:t>
      </w:r>
      <w:r>
        <w:t xml:space="preserve">We have submitted the primary claim to your insurance provider. This invoice reflects the remaining balance after insurance adjudication. Please ensure your copay is settled at the time of service or with this invoice.</w:t>
      </w:r>
    </w:p>
    <w:p>
      <w:pPr>
        <w:numPr>
          <w:ilvl w:val="0"/>
          <w:numId w:val="1001"/>
        </w:numPr>
        <w:pStyle w:val="Compact"/>
      </w:pPr>
      <w:r>
        <w:rPr>
          <w:bCs/>
          <w:b/>
        </w:rPr>
        <w:t xml:space="preserve">Financial Assistance:</w:t>
      </w:r>
      <w:r>
        <w:t xml:space="preserve"> </w:t>
      </w:r>
      <w:r>
        <w:t xml:space="preserve">As a community-focused practice in New York City, we offer sliding scale fees for uninsured or underinsured patients. Please inquire with our office manager for eligibility criteria.</w:t>
      </w:r>
    </w:p>
    <w:p>
      <w:pPr>
        <w:numPr>
          <w:ilvl w:val="0"/>
          <w:numId w:val="1001"/>
        </w:numPr>
        <w:pStyle w:val="Compact"/>
      </w:pPr>
      <w:r>
        <w:rPr>
          <w:bCs/>
          <w:b/>
        </w:rPr>
        <w:t xml:space="preserve">Privacy:</w:t>
      </w:r>
      <w:r>
        <w:t xml:space="preserve"> </w:t>
      </w:r>
      <w:r>
        <w:t xml:space="preserve">Your personal health information is protected under HIPAA regulations. This invoice contains protected health information (PHI) and should be handled with confidentiality.</w:t>
      </w:r>
    </w:p>
    <w:bookmarkEnd w:id="23"/>
    <w:p>
      <w:pPr>
        <w:pStyle w:val="FirstParagraph"/>
      </w:pPr>
      <w:r>
        <w:rPr>
          <w:bCs/>
          <w:b/>
        </w:rPr>
        <w:t xml:space="preserve">Authorized Signature</w:t>
      </w:r>
      <w:r>
        <w:br/>
      </w:r>
      <w:r>
        <w:t xml:space="preserve">Dr. Eleanor Vance, MD</w:t>
      </w:r>
      <w:r>
        <w:br/>
      </w:r>
      <w:r>
        <w:t xml:space="preserve">Doctor General Practitioner</w:t>
      </w:r>
    </w:p>
    <w:p>
      <w:pPr>
        <w:pStyle w:val="BodyText"/>
      </w:pPr>
      <w:r>
        <w:rPr>
          <w:bCs/>
          <w:b/>
        </w:rPr>
        <w:t xml:space="preserve">Patient Acknowledgement</w:t>
      </w:r>
      <w:r>
        <w:br/>
      </w:r>
      <w:r>
        <w:t xml:space="preserve">Signature / Date</w:t>
      </w:r>
      <w:r>
        <w:br/>
      </w:r>
      <w:r>
        <w:t xml:space="preserve">__________________________</w:t>
      </w:r>
    </w:p>
    <w:p>
      <w:pPr>
        <w:pStyle w:val="BodyText"/>
      </w:pPr>
      <w:r>
        <w:t xml:space="preserve">Manhattan Family Medicine Associates | 123 West 57th Street, Suite 400, New York, NY 10019</w:t>
      </w:r>
      <w:r>
        <w:br/>
      </w:r>
      <w:r>
        <w:t xml:space="preserve">This document is a valid legal invoice for medical services rendered in the United States New York City.</w:t>
      </w:r>
      <w:r>
        <w:br/>
      </w:r>
      <w:r>
        <w:t xml:space="preserve">© 2023 Dr. Eleanor Vance, MD.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New York City</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