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invoice"/>
    <w:p>
      <w:pPr>
        <w:pStyle w:val="Heading1"/>
      </w:pPr>
      <w:r>
        <w:t xml:space="preserve">INVOICE</w:t>
      </w:r>
    </w:p>
    <w:p>
      <w:pPr>
        <w:pStyle w:val="FirstParagraph"/>
      </w:pPr>
      <w:r>
        <w:t xml:space="preserve">Professional Economist Services</w:t>
      </w:r>
    </w:p>
    <w:p>
      <w:pPr>
        <w:pStyle w:val="BodyText"/>
      </w:pPr>
      <w:r>
        <w:t xml:space="preserve">Córdoba, Argentina</w:t>
      </w:r>
    </w:p>
    <w:bookmarkEnd w:id="20"/>
    <w:p>
      <w:pPr>
        <w:pStyle w:val="BodyText"/>
      </w:pPr>
      <w:r>
        <w:rPr>
          <w:bCs/>
          <w:b/>
        </w:rPr>
        <w:t xml:space="preserve">Invoice Number:</w:t>
      </w:r>
      <w:r>
        <w:t xml:space="preserve"> </w:t>
      </w:r>
      <w:r>
        <w:t xml:space="preserve">INV-CBA-2025-0047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bookmarkStart w:id="21" w:name="service-provider-economist"/>
    <w:p>
      <w:pPr>
        <w:pStyle w:val="Heading3"/>
      </w:pPr>
      <w:r>
        <w:t xml:space="preserve">Service Provider (Economist)</w:t>
      </w:r>
    </w:p>
    <w:p>
      <w:pPr>
        <w:pStyle w:val="FirstParagraph"/>
      </w:pPr>
      <w:r>
        <w:rPr>
          <w:bCs/>
          <w:b/>
        </w:rPr>
        <w:t xml:space="preserve">Dr. Alejandro R. Fernández</w:t>
      </w:r>
    </w:p>
    <w:p>
      <w:pPr>
        <w:pStyle w:val="BodyText"/>
      </w:pPr>
      <w:r>
        <w:t xml:space="preserve">Licenciado en Economía – Universidad Nacional de Córdoba</w:t>
      </w:r>
    </w:p>
    <w:p>
      <w:pPr>
        <w:pStyle w:val="BodyText"/>
      </w:pPr>
      <w:r>
        <w:t xml:space="preserve">Matrícula Profesional: CPA-CBA-12847</w:t>
      </w:r>
    </w:p>
    <w:p>
      <w:pPr>
        <w:pStyle w:val="BodyText"/>
      </w:pPr>
      <w:r>
        <w:t xml:space="preserve">Calle Vélez Sarsfield 1245, Piso 8, Of. 803</w:t>
      </w:r>
    </w:p>
    <w:p>
      <w:pPr>
        <w:pStyle w:val="BodyText"/>
      </w:pPr>
      <w:r>
        <w:t xml:space="preserve">Córdoba Capital, Provincia de Córdoba, Argentina</w:t>
      </w:r>
    </w:p>
    <w:p>
      <w:pPr>
        <w:pStyle w:val="BodyText"/>
      </w:pPr>
      <w:r>
        <w:t xml:space="preserve">CUIT: 20-12345678-9</w:t>
      </w:r>
    </w:p>
    <w:p>
      <w:pPr>
        <w:pStyle w:val="BodyText"/>
      </w:pPr>
      <w:r>
        <w:t xml:space="preserve">Email: a.fernandez@economista-cba.com.ar</w:t>
      </w:r>
    </w:p>
    <w:p>
      <w:pPr>
        <w:pStyle w:val="BodyText"/>
      </w:pPr>
      <w:r>
        <w:t xml:space="preserve">Phone: +54 351 422-8890</w:t>
      </w:r>
    </w:p>
    <w:bookmarkEnd w:id="21"/>
    <w:bookmarkStart w:id="22" w:name="client-bill-to"/>
    <w:p>
      <w:pPr>
        <w:pStyle w:val="Heading3"/>
      </w:pPr>
      <w:r>
        <w:t xml:space="preserve">Client / Bill To</w:t>
      </w:r>
    </w:p>
    <w:p>
      <w:pPr>
        <w:pStyle w:val="FirstParagraph"/>
      </w:pPr>
      <w:r>
        <w:rPr>
          <w:bCs/>
          <w:b/>
        </w:rPr>
        <w:t xml:space="preserve">Grupo Industrial del Litoral S.A.</w:t>
      </w:r>
    </w:p>
    <w:p>
      <w:pPr>
        <w:pStyle w:val="BodyText"/>
      </w:pPr>
      <w:r>
        <w:t xml:space="preserve">Av. Colón 2340, Piso 12</w:t>
      </w:r>
    </w:p>
    <w:p>
      <w:pPr>
        <w:pStyle w:val="BodyText"/>
      </w:pPr>
      <w:r>
        <w:t xml:space="preserve">Córdoba Capital, Provincia de Córdoba, Argentina</w:t>
      </w:r>
    </w:p>
    <w:p>
      <w:pPr>
        <w:pStyle w:val="BodyText"/>
      </w:pPr>
      <w:r>
        <w:t xml:space="preserve">CUIT: 30-76543210-8</w:t>
      </w:r>
    </w:p>
    <w:p>
      <w:pPr>
        <w:pStyle w:val="BodyText"/>
      </w:pPr>
      <w:r>
        <w:t xml:space="preserve">Attn: Lic. María González – Gerente Financiera</w:t>
      </w:r>
    </w:p>
    <w:p>
      <w:pPr>
        <w:pStyle w:val="BodyText"/>
      </w:pPr>
      <w:r>
        <w:t xml:space="preserve">Email: m.gonzalez@grupolitoral.com.ar</w:t>
      </w:r>
    </w:p>
    <w:p>
      <w:pPr>
        <w:pStyle w:val="BodyText"/>
      </w:pPr>
      <w:r>
        <w:t xml:space="preserve">Phone: +54 351 480-3321</w:t>
      </w:r>
    </w:p>
    <w:bookmarkEnd w:id="22"/>
    <w:bookmarkStart w:id="24" w:name="X0c8e8e8d222880abdfceac1ab14790bc81e4706"/>
    <w:p>
      <w:pPr>
        <w:pStyle w:val="Heading2"/>
      </w:pPr>
      <w:r>
        <w:t xml:space="preserve">Description of Economist Services Rendered</w:t>
      </w:r>
    </w:p>
    <w:p>
      <w:pPr>
        <w:pStyle w:val="FirstParagraph"/>
      </w:pPr>
      <w:r>
        <w:t xml:space="preserve">The following professional services were provided by the undersigned Economist in accordance with the engagement contract dated 01 May 2025, executed in Córdoba, Argentina. All economic analyses, macroeconomic forecasts, and financial advisory services were conducted in compliance with the regulations established by the Argentine Securities Commission (Comisión Nacional de Valores) and the professional standards of the Colegio de Economistas de la Provincia de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Economist 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Macroeconomic analysis and quarterly GDP forecast for the Province of Córdoba, including inflation projections, monetary policy assessment, and fiscal sustainability evaluation for the client's industrial operations.</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Comprehensive economic risk assessment and scenario modeling for the client's export operations to the European Union and Mercosur markets, incorporating exchange rate volatility analysis specific to the Argentine peso.</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3</w:t>
            </w:r>
          </w:p>
        </w:tc>
        <w:tc>
          <w:tcPr/>
          <w:p>
            <w:pPr>
              <w:pStyle w:val="Compact"/>
              <w:jc w:val="left"/>
            </w:pPr>
            <w:r>
              <w:t xml:space="preserve">Preparation of a detailed economic feasibility study for the proposed expansion of the client's manufacturing facility in the Córdoba industrial corridor, including labor market analysis, supply chain cost projections, and regional economic impact assessment.</w:t>
            </w:r>
          </w:p>
        </w:tc>
        <w:tc>
          <w:tcPr/>
          <w:p>
            <w:pPr>
              <w:pStyle w:val="Compact"/>
              <w:jc w:val="left"/>
            </w:pPr>
            <w:r>
              <w:t xml:space="preserve">May–June 2025</w:t>
            </w:r>
          </w:p>
        </w:tc>
        <w:tc>
          <w:tcPr/>
          <w:p>
            <w:pPr>
              <w:pStyle w:val="Compact"/>
              <w:jc w:val="left"/>
            </w:pPr>
            <w:r>
              <w:t xml:space="preserve">56</w:t>
            </w:r>
          </w:p>
        </w:tc>
        <w:tc>
          <w:tcPr/>
          <w:p>
            <w:pPr>
              <w:pStyle w:val="Compact"/>
              <w:jc w:val="left"/>
            </w:pPr>
            <w:r>
              <w:t xml:space="preserve">85,000</w:t>
            </w:r>
          </w:p>
        </w:tc>
        <w:tc>
          <w:tcPr/>
          <w:p>
            <w:pPr>
              <w:pStyle w:val="Compact"/>
              <w:jc w:val="left"/>
            </w:pPr>
            <w:r>
              <w:t xml:space="preserve">4,760,000</w:t>
            </w:r>
          </w:p>
        </w:tc>
      </w:tr>
      <w:tr>
        <w:tc>
          <w:tcPr/>
          <w:p>
            <w:pPr>
              <w:pStyle w:val="Compact"/>
              <w:jc w:val="left"/>
            </w:pPr>
            <w:r>
              <w:t xml:space="preserve">4</w:t>
            </w:r>
          </w:p>
        </w:tc>
        <w:tc>
          <w:tcPr/>
          <w:p>
            <w:pPr>
              <w:pStyle w:val="Compact"/>
              <w:jc w:val="left"/>
            </w:pPr>
            <w:r>
              <w:t xml:space="preserve">Advisory services on Argentine tax optimization strategies, including analysis of the Impuesto a las Ganancias, IVA implications, and provincial tax incentives available in Córdoba for industrial investment projects.</w:t>
            </w:r>
          </w:p>
        </w:tc>
        <w:tc>
          <w:tcPr/>
          <w:p>
            <w:pPr>
              <w:pStyle w:val="Compact"/>
              <w:jc w:val="left"/>
            </w:pPr>
            <w:r>
              <w:t xml:space="preserve">June 2025</w:t>
            </w:r>
          </w:p>
        </w:tc>
        <w:tc>
          <w:tcPr/>
          <w:p>
            <w:pPr>
              <w:pStyle w:val="Compact"/>
              <w:jc w:val="left"/>
            </w:pPr>
            <w:r>
              <w:t xml:space="preserve">24</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5</w:t>
            </w:r>
          </w:p>
        </w:tc>
        <w:tc>
          <w:tcPr/>
          <w:p>
            <w:pPr>
              <w:pStyle w:val="Compact"/>
              <w:jc w:val="left"/>
            </w:pPr>
            <w:r>
              <w:t xml:space="preserve">Economic presentation and board-level briefing on Argentine monetary policy outlook, Central Bank of Argentina (BCRA) interest rate trajectory, and implications for the client's debt restructuring strategy.</w:t>
            </w:r>
          </w:p>
        </w:tc>
        <w:tc>
          <w:tcPr/>
          <w:p>
            <w:pPr>
              <w:pStyle w:val="Compact"/>
              <w:jc w:val="left"/>
            </w:pPr>
            <w:r>
              <w:t xml:space="preserve">June 2025</w:t>
            </w:r>
          </w:p>
        </w:tc>
        <w:tc>
          <w:tcPr/>
          <w:p>
            <w:pPr>
              <w:pStyle w:val="Compact"/>
              <w:jc w:val="left"/>
            </w:pPr>
            <w:r>
              <w:t xml:space="preserve">16</w:t>
            </w:r>
          </w:p>
        </w:tc>
        <w:tc>
          <w:tcPr/>
          <w:p>
            <w:pPr>
              <w:pStyle w:val="Compact"/>
              <w:jc w:val="left"/>
            </w:pPr>
            <w:r>
              <w:t xml:space="preserve">85,000</w:t>
            </w:r>
          </w:p>
        </w:tc>
        <w:tc>
          <w:tcPr/>
          <w:p>
            <w:pPr>
              <w:pStyle w:val="Compact"/>
              <w:jc w:val="left"/>
            </w:pPr>
            <w:r>
              <w:t xml:space="preserve">1,360,000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14,280,000.00</w:t>
            </w:r>
          </w:p>
        </w:tc>
      </w:tr>
      <w:tr>
        <w:tc>
          <w:tcPr/>
          <w:p>
            <w:pPr>
              <w:pStyle w:val="Compact"/>
              <w:jc w:val="left"/>
            </w:pPr>
            <w:r>
              <w:t xml:space="preserve">IVA (21%) – Argentine Value Added Tax</w:t>
            </w:r>
          </w:p>
        </w:tc>
        <w:tc>
          <w:tcPr/>
          <w:p>
            <w:pPr>
              <w:pStyle w:val="Compact"/>
              <w:jc w:val="right"/>
            </w:pPr>
            <w:r>
              <w:t xml:space="preserve">2,998,800.00</w:t>
            </w:r>
          </w:p>
        </w:tc>
      </w:tr>
      <w:tr>
        <w:tc>
          <w:tcPr/>
          <w:p>
            <w:pPr>
              <w:pStyle w:val="Compact"/>
              <w:jc w:val="left"/>
            </w:pPr>
            <w:r>
              <w:t xml:space="preserve">Percepción de Ganancias (6%)</w:t>
            </w:r>
          </w:p>
        </w:tc>
        <w:tc>
          <w:tcPr/>
          <w:p>
            <w:pPr>
              <w:pStyle w:val="Compact"/>
              <w:jc w:val="right"/>
            </w:pPr>
            <w:r>
              <w:t xml:space="preserve">856,800.00</w:t>
            </w:r>
          </w:p>
        </w:tc>
      </w:tr>
      <w:tr>
        <w:tc>
          <w:tcPr/>
          <w:p>
            <w:pPr>
              <w:pStyle w:val="Compact"/>
              <w:jc w:val="left"/>
            </w:pPr>
            <w:r>
              <w:t xml:space="preserve">GRAND TOTAL (ARS)</w:t>
            </w:r>
          </w:p>
        </w:tc>
        <w:tc>
          <w:tcPr/>
          <w:p>
            <w:pPr>
              <w:pStyle w:val="Compact"/>
              <w:jc w:val="right"/>
            </w:pPr>
            <w:r>
              <w:t xml:space="preserve">18,135,600.00</w:t>
            </w:r>
          </w:p>
        </w:tc>
      </w:tr>
    </w:tbl>
    <w:bookmarkStart w:id="23" w:name="important-notes-and-payment-instructions"/>
    <w:p>
      <w:pPr>
        <w:pStyle w:val="Heading3"/>
      </w:pPr>
      <w:r>
        <w:t xml:space="preserve">Important Notes and Payment Instructions</w:t>
      </w:r>
    </w:p>
    <w:p>
      <w:pPr>
        <w:pStyle w:val="FirstParagraph"/>
      </w:pPr>
      <w:r>
        <w:rPr>
          <w:bCs/>
          <w:b/>
        </w:rPr>
        <w:t xml:space="preserve">1.</w:t>
      </w:r>
      <w:r>
        <w:t xml:space="preserve"> </w:t>
      </w:r>
      <w:r>
        <w:t xml:space="preserve">This Invoice is issued in accordance with the Argentine tax regulations (Ley de Facturación – Decreto 622/97) and the professional obligations of the Colegio de Economistas de la Provincia de Córdoba. The Economist named herein holds a valid professional license (Matrícula) issued by the relevant professional body in Córdoba, Argentina.</w:t>
      </w:r>
    </w:p>
    <w:p>
      <w:pPr>
        <w:pStyle w:val="BodyText"/>
      </w:pPr>
      <w:r>
        <w:rPr>
          <w:bCs/>
          <w:b/>
        </w:rPr>
        <w:t xml:space="preserve">2.</w:t>
      </w:r>
      <w:r>
        <w:t xml:space="preserve"> </w:t>
      </w:r>
      <w:r>
        <w:t xml:space="preserve">Payment shall be made via bank transfer to the following account: Banco de la Nación Argentina – CBU: 011000100000123456789013 – CUIT: 20-12345678-9 – Titular: Dr. Alejandro R. Fernández. The payment must reference Invoice Number INV-CBA-2025-0047.</w:t>
      </w:r>
    </w:p>
    <w:p>
      <w:pPr>
        <w:pStyle w:val="BodyText"/>
      </w:pPr>
      <w:r>
        <w:rPr>
          <w:bCs/>
          <w:b/>
        </w:rPr>
        <w:t xml:space="preserve">3.</w:t>
      </w:r>
      <w:r>
        <w:t xml:space="preserve"> </w:t>
      </w:r>
      <w:r>
        <w:t xml:space="preserve">In the event of non-payment by the due date of 15 July 2025, a late payment interest rate equivalent to the Argentine Central Bank's reference rate (Tasa de Interés Referencial del BCRA) plus 2% per month shall be applied, in accordance with Article 768 of the Argentine Civil and Commercial Code.</w:t>
      </w:r>
    </w:p>
    <w:p>
      <w:pPr>
        <w:pStyle w:val="BodyText"/>
      </w:pPr>
      <w:r>
        <w:rPr>
          <w:bCs/>
          <w:b/>
        </w:rPr>
        <w:t xml:space="preserve">4.</w:t>
      </w:r>
      <w:r>
        <w:t xml:space="preserve"> </w:t>
      </w:r>
      <w:r>
        <w:t xml:space="preserve">All economic analyses, forecasts, and advisory opinions contained in the services described in this Invoice are provided on a professional basis by the Economist and do not constitute a guarantee of future economic outcomes. The Economist has exercised due professional diligence in accordance with the standards of the Argentine economic profession.</w:t>
      </w:r>
    </w:p>
    <w:p>
      <w:pPr>
        <w:pStyle w:val="BodyText"/>
      </w:pPr>
      <w:r>
        <w:rPr>
          <w:bCs/>
          <w:b/>
        </w:rPr>
        <w:t xml:space="preserve">5.</w:t>
      </w:r>
      <w:r>
        <w:t xml:space="preserve"> </w:t>
      </w:r>
      <w:r>
        <w:t xml:space="preserve">This Invoice is valid for a period of 90 calendar days from the date of issue. After this period, the amounts stated herein may be subject to adjustment in accordance with the Argentine Consumer Protection Law (Ley 24.240) and applicable inflation indexation provisions.</w:t>
      </w:r>
    </w:p>
    <w:p>
      <w:pPr>
        <w:pStyle w:val="BodyText"/>
      </w:pPr>
      <w:r>
        <w:rPr>
          <w:bCs/>
          <w:b/>
        </w:rPr>
        <w:t xml:space="preserve">6.</w:t>
      </w:r>
      <w:r>
        <w:t xml:space="preserve"> </w:t>
      </w:r>
      <w:r>
        <w:t xml:space="preserve">Any disputes arising from this Invoice or the underlying services shall be resolved in the competent courts of Córdoba Capital, Provincia de Córdoba, Argentina, in accordance with the jurisdictional agreement stipulated in the original engagement contract.</w:t>
      </w:r>
    </w:p>
    <w:bookmarkEnd w:id="23"/>
    <w:p>
      <w:pPr>
        <w:pStyle w:val="BodyText"/>
      </w:pPr>
      <w:r>
        <w:rPr>
          <w:bCs/>
          <w:b/>
        </w:rPr>
        <w:t xml:space="preserve">Dr. Alejandro R. Fernández</w:t>
      </w:r>
      <w:r>
        <w:t xml:space="preserve"> </w:t>
      </w:r>
      <w:r>
        <w:t xml:space="preserve">– Professional Economist (Economista) – Córdoba, Argentina</w:t>
      </w:r>
    </w:p>
    <w:p>
      <w:pPr>
        <w:pStyle w:val="BodyText"/>
      </w:pPr>
      <w:r>
        <w:t xml:space="preserve">Matrícula: CPA-CBA-12847 | CUIT: 20-12345678-9 | Registered with the Colegio de Economistas de la Provincia de Córdoba</w:t>
      </w:r>
    </w:p>
    <w:p>
      <w:pPr>
        <w:pStyle w:val="BodyText"/>
      </w:pPr>
      <w:r>
        <w:t xml:space="preserve">This document constitutes a valid fiscal invoice (Factura A) for the purposes of Argentine tax law. It is issued in the Province of Córdoba, Republic of Argentina.</w:t>
      </w:r>
    </w:p>
    <w:p>
      <w:pPr>
        <w:pStyle w:val="BodyText"/>
      </w:pPr>
      <w:r>
        <w:t xml:space="preserve">© 2025 – All rights reserved. This Invoice is a legally binding document under Argentine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Córdoba, Argentina</dc:title>
  <dc:creator/>
  <dc:language>en</dc:language>
  <cp:keywords/>
  <dcterms:created xsi:type="dcterms:W3CDTF">2026-10-10T04:17:16Z</dcterms:created>
  <dcterms:modified xsi:type="dcterms:W3CDTF">2026-10-10T04:17:16Z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