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invoice"/>
    <w:p>
      <w:pPr>
        <w:pStyle w:val="Heading1"/>
      </w:pPr>
      <w:r>
        <w:t xml:space="preserve">INVOICE</w:t>
      </w:r>
    </w:p>
    <w:p>
      <w:pPr>
        <w:pStyle w:val="FirstParagraph"/>
      </w:pPr>
      <w:r>
        <w:t xml:space="preserve">Professional Economist Advisory &amp; Consulting Services</w:t>
      </w:r>
    </w:p>
    <w:p>
      <w:pPr>
        <w:pStyle w:val="BodyText"/>
      </w:pPr>
      <w:r>
        <w:t xml:space="preserve">BANGLADESH DHAKA</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BD-DHK-ECON-2025-0047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BDT (Bangladeshi Taka)</w:t>
      </w:r>
    </w:p>
    <w:bookmarkEnd w:id="21"/>
    <w:bookmarkStart w:id="22" w:name="service-provider-economist"/>
    <w:p>
      <w:pPr>
        <w:pStyle w:val="Heading4"/>
      </w:pPr>
      <w:r>
        <w:t xml:space="preserve">Service Provider (Economist)</w:t>
      </w:r>
    </w:p>
    <w:p>
      <w:pPr>
        <w:pStyle w:val="FirstParagraph"/>
      </w:pPr>
      <w:r>
        <w:rPr>
          <w:bCs/>
          <w:b/>
        </w:rPr>
        <w:t xml:space="preserve">Dr. Mahmudul Hasan Chowdhury</w:t>
      </w:r>
    </w:p>
    <w:p>
      <w:pPr>
        <w:pStyle w:val="BodyText"/>
      </w:pPr>
      <w:r>
        <w:t xml:space="preserve">Senior Economist &amp; Chief Economic Advisor</w:t>
      </w:r>
    </w:p>
    <w:p>
      <w:pPr>
        <w:pStyle w:val="BodyText"/>
      </w:pPr>
      <w:r>
        <w:t xml:space="preserve">Chowdhury Economic Research Institute</w:t>
      </w:r>
    </w:p>
    <w:p>
      <w:pPr>
        <w:pStyle w:val="BodyText"/>
      </w:pPr>
      <w:r>
        <w:t xml:space="preserve">House 42, Road 11, Banani</w:t>
      </w:r>
    </w:p>
    <w:p>
      <w:pPr>
        <w:pStyle w:val="BodyText"/>
      </w:pPr>
      <w:r>
        <w:t xml:space="preserve">Dhaka 1213, Bangladesh</w:t>
      </w:r>
    </w:p>
    <w:p>
      <w:pPr>
        <w:pStyle w:val="BodyText"/>
      </w:pPr>
      <w:r>
        <w:t xml:space="preserve">Tel: +880-2-9887654</w:t>
      </w:r>
    </w:p>
    <w:p>
      <w:pPr>
        <w:pStyle w:val="BodyText"/>
      </w:pPr>
      <w:r>
        <w:t xml:space="preserve">Email: m.hasan@ce-ri.org.bd</w:t>
      </w:r>
    </w:p>
    <w:p>
      <w:pPr>
        <w:pStyle w:val="BodyText"/>
      </w:pPr>
      <w:r>
        <w:t xml:space="preserve">VAT Reg. No: 001234567-0101</w:t>
      </w:r>
    </w:p>
    <w:bookmarkEnd w:id="22"/>
    <w:bookmarkStart w:id="23" w:name="bill-to-client"/>
    <w:p>
      <w:pPr>
        <w:pStyle w:val="Heading4"/>
      </w:pPr>
      <w:r>
        <w:t xml:space="preserve">Bill To (Client)</w:t>
      </w:r>
    </w:p>
    <w:p>
      <w:pPr>
        <w:pStyle w:val="FirstParagraph"/>
      </w:pPr>
      <w:r>
        <w:rPr>
          <w:bCs/>
          <w:b/>
        </w:rPr>
        <w:t xml:space="preserve">Padma River Industrial Group Ltd.</w:t>
      </w:r>
    </w:p>
    <w:p>
      <w:pPr>
        <w:pStyle w:val="BodyText"/>
      </w:pPr>
      <w:r>
        <w:t xml:space="preserve">Attn: Mr. Rafiq Ahmed, Chief Financial Officer</w:t>
      </w:r>
    </w:p>
    <w:p>
      <w:pPr>
        <w:pStyle w:val="BodyText"/>
      </w:pPr>
      <w:r>
        <w:t xml:space="preserve">Plot 7, Level 3, Gulshan Avenue</w:t>
      </w:r>
    </w:p>
    <w:p>
      <w:pPr>
        <w:pStyle w:val="BodyText"/>
      </w:pPr>
      <w:r>
        <w:t xml:space="preserve">Dhaka 1212, Bangladesh</w:t>
      </w:r>
    </w:p>
    <w:p>
      <w:pPr>
        <w:pStyle w:val="BodyText"/>
      </w:pPr>
      <w:r>
        <w:t xml:space="preserve">Tel: +880-2-8812345</w:t>
      </w:r>
    </w:p>
    <w:p>
      <w:pPr>
        <w:pStyle w:val="BodyText"/>
      </w:pPr>
      <w:r>
        <w:t xml:space="preserve">Email: finance@padmariver.com.bd</w:t>
      </w:r>
    </w:p>
    <w:p>
      <w:pPr>
        <w:pStyle w:val="BodyText"/>
      </w:pPr>
      <w:r>
        <w:t xml:space="preserve">TIN: 009876543-0201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Reference / Period</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Macroeconomic Analysis &amp; Policy Advisory for Bangladesh fiscal year 2025–2026. Comprehensive review of GDP growth projections, inflation trends, and monetary policy implications specific to the Dhaka metropolitan economic zone.</w:t>
            </w:r>
          </w:p>
        </w:tc>
        <w:tc>
          <w:tcPr/>
          <w:p>
            <w:pPr>
              <w:pStyle w:val="Compact"/>
              <w:jc w:val="left"/>
            </w:pPr>
            <w:r>
              <w:t xml:space="preserve">Jan – Mar 2025</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02</w:t>
            </w:r>
          </w:p>
        </w:tc>
        <w:tc>
          <w:tcPr/>
          <w:p>
            <w:pPr>
              <w:pStyle w:val="Compact"/>
              <w:jc w:val="left"/>
            </w:pPr>
            <w:r>
              <w:t xml:space="preserve">Trade &amp; Export Strategy Consultation. Detailed assessment of Bangladesh's textile and garment export competitiveness, tariff analysis under WTO frameworks, and recommendations for market diversification beyond traditional EU and US markets.</w:t>
            </w:r>
          </w:p>
        </w:tc>
        <w:tc>
          <w:tcPr/>
          <w:p>
            <w:pPr>
              <w:pStyle w:val="Compact"/>
              <w:jc w:val="left"/>
            </w:pPr>
            <w:r>
              <w:t xml:space="preserve">Feb – Apr 2025</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03</w:t>
            </w:r>
          </w:p>
        </w:tc>
        <w:tc>
          <w:tcPr/>
          <w:p>
            <w:pPr>
              <w:pStyle w:val="Compact"/>
              <w:jc w:val="left"/>
            </w:pPr>
            <w:r>
              <w:t xml:space="preserve">Investment Climate Assessment for Dhaka Special Economic Zones. Evaluation of foreign direct investment (FDI) opportunities, regulatory compliance review under Bangladesh Investment Development Authority (BIDA) guidelines, and risk mitigation strategies for multinational stakeholders.</w:t>
            </w:r>
          </w:p>
        </w:tc>
        <w:tc>
          <w:tcPr/>
          <w:p>
            <w:pPr>
              <w:pStyle w:val="Compact"/>
              <w:jc w:val="left"/>
            </w:pPr>
            <w:r>
              <w:t xml:space="preserve">Mar – May 2025</w:t>
            </w:r>
          </w:p>
        </w:tc>
        <w:tc>
          <w:tcPr/>
          <w:p>
            <w:pPr>
              <w:pStyle w:val="Compact"/>
              <w:jc w:val="left"/>
            </w:pPr>
            <w:r>
              <w:t xml:space="preserve">72,000.00</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Board-Level Economic Briefing &amp; Presentation. Preparation and delivery of quarterly economic outlook presentations to the Board of Directors, covering Bangladesh central bank (Bangladesh Bank) policy shifts, exchange rate volatility of BDT against USD, and sector-specific growth forecasts for Dhaka-based operations.</w:t>
            </w:r>
          </w:p>
        </w:tc>
        <w:tc>
          <w:tcPr/>
          <w:p>
            <w:pPr>
              <w:pStyle w:val="Compact"/>
              <w:jc w:val="left"/>
            </w:pPr>
            <w:r>
              <w:t xml:space="preserve">Apr – Jun 2025</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05</w:t>
            </w:r>
          </w:p>
        </w:tc>
        <w:tc>
          <w:tcPr/>
          <w:p>
            <w:pPr>
              <w:pStyle w:val="Compact"/>
              <w:jc w:val="left"/>
            </w:pPr>
            <w:r>
              <w:t xml:space="preserve">Custom Economic Modelling &amp; Forecasting. Development of proprietary econometric models tailored to the client's multi-sector portfolio in Bangladesh, incorporating local labor market data, energy cost projections, and infrastructure development timelines for the Dhaka–Chattogram corridor.</w:t>
            </w:r>
          </w:p>
        </w:tc>
        <w:tc>
          <w:tcPr/>
          <w:p>
            <w:pPr>
              <w:pStyle w:val="Compact"/>
              <w:jc w:val="left"/>
            </w:pPr>
            <w:r>
              <w:t xml:space="preserve">May – Jun 2025</w:t>
            </w:r>
          </w:p>
        </w:tc>
        <w:tc>
          <w:tcPr/>
          <w:p>
            <w:pPr>
              <w:pStyle w:val="Compact"/>
              <w:jc w:val="left"/>
            </w:pPr>
            <w:r>
              <w:t xml:space="preserve">95,000.00</w:t>
            </w:r>
          </w:p>
        </w:tc>
        <w:tc>
          <w:tcPr/>
          <w:p>
            <w:pPr>
              <w:pStyle w:val="Compact"/>
              <w:jc w:val="left"/>
            </w:pPr>
            <w:r>
              <w:t xml:space="preserve">285,000.00</w:t>
            </w:r>
          </w:p>
        </w:tc>
      </w:tr>
      <w:tr>
        <w:tc>
          <w:tcPr/>
          <w:p>
            <w:pPr>
              <w:pStyle w:val="Compact"/>
              <w:jc w:val="left"/>
            </w:pPr>
            <w:r>
              <w:t xml:space="preserve">06</w:t>
            </w:r>
          </w:p>
        </w:tc>
        <w:tc>
          <w:tcPr/>
          <w:p>
            <w:pPr>
              <w:pStyle w:val="Compact"/>
              <w:jc w:val="left"/>
            </w:pPr>
            <w:r>
              <w:t xml:space="preserve">Regulatory Compliance &amp; Tax Advisory. Guidance on Bangladesh National Board of Revenue (NBR) compliance, transfer pricing documentation, and optimization of corporate tax obligations in alignment with the Finance Act 2025 enacted by the Government of Bangladesh.</w:t>
            </w:r>
          </w:p>
        </w:tc>
        <w:tc>
          <w:tcPr/>
          <w:p>
            <w:pPr>
              <w:pStyle w:val="Compact"/>
              <w:jc w:val="left"/>
            </w:pPr>
            <w:r>
              <w:t xml:space="preserve">Jun 2025</w:t>
            </w:r>
          </w:p>
        </w:tc>
        <w:tc>
          <w:tcPr/>
          <w:p>
            <w:pPr>
              <w:pStyle w:val="Compact"/>
              <w:jc w:val="left"/>
            </w:pPr>
            <w:r>
              <w:t xml:space="preserve">38,000.00</w:t>
            </w:r>
          </w:p>
        </w:tc>
        <w:tc>
          <w:tcPr/>
          <w:p>
            <w:pPr>
              <w:pStyle w:val="Compact"/>
              <w:jc w:val="left"/>
            </w:pPr>
            <w:r>
              <w:t xml:space="preserve">114,000.00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(BDT)</w:t>
            </w:r>
          </w:p>
        </w:tc>
        <w:tc>
          <w:tcPr/>
          <w:p>
            <w:pPr>
              <w:pStyle w:val="Compact"/>
              <w:jc w:val="right"/>
            </w:pPr>
            <w:r>
              <w:t xml:space="preserve">1,200,000.00</w:t>
            </w:r>
          </w:p>
        </w:tc>
      </w:tr>
      <w:tr>
        <w:tc>
          <w:tcPr/>
          <w:p>
            <w:pPr>
              <w:pStyle w:val="Compact"/>
              <w:jc w:val="left"/>
            </w:pPr>
            <w:r>
              <w:t xml:space="preserve">Discount (Early Payment – 5%)</w:t>
            </w:r>
          </w:p>
        </w:tc>
        <w:tc>
          <w:tcPr/>
          <w:p>
            <w:pPr>
              <w:pStyle w:val="Compact"/>
              <w:jc w:val="right"/>
            </w:pPr>
            <w:r>
              <w:t xml:space="preserve">(60,000.00)</w:t>
            </w:r>
          </w:p>
        </w:tc>
      </w:tr>
      <w:tr>
        <w:tc>
          <w:tcPr/>
          <w:p>
            <w:pPr>
              <w:pStyle w:val="Compact"/>
              <w:jc w:val="left"/>
            </w:pPr>
            <w:r>
              <w:t xml:space="preserve">Adjustable Subtotal</w:t>
            </w:r>
          </w:p>
        </w:tc>
        <w:tc>
          <w:tcPr/>
          <w:p>
            <w:pPr>
              <w:pStyle w:val="Compact"/>
              <w:jc w:val="right"/>
            </w:pPr>
            <w:r>
              <w:t xml:space="preserve">1,140,000.00</w:t>
            </w:r>
          </w:p>
        </w:tc>
      </w:tr>
      <w:tr>
        <w:tc>
          <w:tcPr/>
          <w:p>
            <w:pPr>
              <w:pStyle w:val="Compact"/>
              <w:jc w:val="left"/>
            </w:pPr>
            <w:r>
              <w:t xml:space="preserve">VAT @ 15% (Bangladesh)</w:t>
            </w:r>
          </w:p>
        </w:tc>
        <w:tc>
          <w:tcPr/>
          <w:p>
            <w:pPr>
              <w:pStyle w:val="Compact"/>
              <w:jc w:val="right"/>
            </w:pPr>
            <w:r>
              <w:t xml:space="preserve">171,000.00</w:t>
            </w:r>
          </w:p>
        </w:tc>
      </w:tr>
      <w:tr>
        <w:tc>
          <w:tcPr/>
          <w:p>
            <w:pPr>
              <w:pStyle w:val="Compact"/>
              <w:jc w:val="left"/>
            </w:pPr>
            <w:r>
              <w:t xml:space="preserve">Service Tax @ 3% (Economist Professional Fee)</w:t>
            </w:r>
          </w:p>
        </w:tc>
        <w:tc>
          <w:tcPr/>
          <w:p>
            <w:pPr>
              <w:pStyle w:val="Compact"/>
              <w:jc w:val="right"/>
            </w:pPr>
            <w:r>
              <w:t xml:space="preserve">34,200.00</w:t>
            </w:r>
          </w:p>
        </w:tc>
      </w:tr>
      <w:tr>
        <w:tc>
          <w:tcPr/>
          <w:p>
            <w:pPr>
              <w:pStyle w:val="Compact"/>
              <w:jc w:val="left"/>
            </w:pPr>
            <w:r>
              <w:t xml:space="preserve">Grand Total Due (BDT)</w:t>
            </w:r>
          </w:p>
        </w:tc>
        <w:tc>
          <w:tcPr/>
          <w:p>
            <w:pPr>
              <w:pStyle w:val="Compact"/>
              <w:jc w:val="right"/>
            </w:pPr>
            <w:r>
              <w:t xml:space="preserve">1,345,200.00</w:t>
            </w:r>
          </w:p>
        </w:tc>
      </w:tr>
    </w:tbl>
    <w:bookmarkStart w:id="24"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to Chowdhury Economic Research Institute, Sonali Bank PLC, Banani Branch, Dhaka. Account No: 1010-2025-0047-88. SWIFT Code: SNLBBDDH.</w:t>
      </w:r>
    </w:p>
    <w:p>
      <w:pPr>
        <w:pStyle w:val="BodyText"/>
      </w:pPr>
      <w:r>
        <w:rPr>
          <w:bCs/>
          <w:b/>
        </w:rPr>
        <w:t xml:space="preserve">Important:</w:t>
      </w:r>
      <w:r>
        <w:t xml:space="preserve"> </w:t>
      </w:r>
      <w:r>
        <w:t xml:space="preserve">This invoice is issued in accordance with the Bangladesh National Board of Revenue (NBR) invoicing regulations and the Value Added Tax (VAT) Act, 1991 (as amended). The economist services rendered are subject to the professional service tax as mandated under the Finance Act of the Government of Bangladesh.</w:t>
      </w:r>
    </w:p>
    <w:p>
      <w:pPr>
        <w:pStyle w:val="BodyText"/>
      </w:pPr>
      <w:r>
        <w:rPr>
          <w:bCs/>
          <w:b/>
        </w:rPr>
        <w:t xml:space="preserve">Reference:</w:t>
      </w:r>
      <w:r>
        <w:t xml:space="preserve"> </w:t>
      </w:r>
      <w:r>
        <w:t xml:space="preserve">All payments should reference Invoice No. BD-DHK-ECON-2025-0047. Please retain this document for your corporate tax filing with the NBR Dhaka Regional Office.</w:t>
      </w:r>
    </w:p>
    <w:p>
      <w:pPr>
        <w:pStyle w:val="BodyText"/>
      </w:pPr>
      <w:r>
        <w:rPr>
          <w:bCs/>
          <w:b/>
        </w:rPr>
        <w:t xml:space="preserve">Validity:</w:t>
      </w:r>
      <w:r>
        <w:t xml:space="preserve"> </w:t>
      </w:r>
      <w:r>
        <w:t xml:space="preserve">This invoice remains valid for 30 calendar days from the date of issue. After this period, the economist service rates and applicable tax percentages may be subject to revision based on prevailing Bangladesh economic conditions.</w:t>
      </w:r>
    </w:p>
    <w:bookmarkEnd w:id="24"/>
    <w:bookmarkStart w:id="25" w:name="terms-conditions-of-this-invoice"/>
    <w:p>
      <w:pPr>
        <w:pStyle w:val="Heading4"/>
      </w:pPr>
      <w:r>
        <w:t xml:space="preserve">Terms &amp; Conditions of This Invoice</w:t>
      </w:r>
    </w:p>
    <w:p>
      <w:pPr>
        <w:pStyle w:val="FirstParagraph"/>
      </w:pPr>
      <w:r>
        <w:t xml:space="preserve">1. The economist services described in this invoice have been performed in full compliance with the professional standards set by the Bangladesh Economic Association and the Bangladesh Institute of Development Studies (BIDS), Dhaka.</w:t>
      </w:r>
    </w:p>
    <w:p>
      <w:pPr>
        <w:pStyle w:val="BodyText"/>
      </w:pPr>
      <w:r>
        <w:t xml:space="preserve">2. All intellectual property, including economic models, forecasts, and analytical reports delivered under this invoice, shall remain the exclusive property of the economist and the Chowdhury Economic Research Institute unless a separate licensing agreement is executed in writing.</w:t>
      </w:r>
    </w:p>
    <w:p>
      <w:pPr>
        <w:pStyle w:val="BodyText"/>
      </w:pPr>
      <w:r>
        <w:t xml:space="preserve">3. Payment is due within fifteen (15) calendar days of the invoice date. A late payment penalty of 1.5% per month, calculated on the outstanding balance, shall apply in accordance with Bangladesh commercial law and the Negotiable Instruments Act.</w:t>
      </w:r>
    </w:p>
    <w:p>
      <w:pPr>
        <w:pStyle w:val="BodyText"/>
      </w:pPr>
      <w:r>
        <w:t xml:space="preserve">4. The client acknowledges that the economic projections and advisory opinions provided by the economist are based on data available in Bangladesh and the global market at the time of analysis and do not constitute a guarantee of future economic performance.</w:t>
      </w:r>
    </w:p>
    <w:p>
      <w:pPr>
        <w:pStyle w:val="BodyText"/>
      </w:pPr>
      <w:r>
        <w:t xml:space="preserve">5. Any disputes arising from this invoice shall be resolved through arbitration in Dhaka, Bangladesh, in accordance with the Arbitration Act, 2001 of Bangladesh. The jurisdiction of the courts of Dhaka, Bangladesh shall be exclusive.</w:t>
      </w:r>
    </w:p>
    <w:p>
      <w:pPr>
        <w:pStyle w:val="BodyText"/>
      </w:pPr>
      <w:r>
        <w:t xml:space="preserve">6. This invoice constitutes a legally binding financial document under the laws of the People's Republic of Bangladesh. Both parties agree to the terms stated herein by executing the associated service agreement.</w:t>
      </w:r>
    </w:p>
    <w:bookmarkEnd w:id="25"/>
    <w:p>
      <w:pPr>
        <w:pStyle w:val="BodyText"/>
      </w:pPr>
      <w:r>
        <w:t xml:space="preserve">This invoice was generated and issued in Dhaka, Bangladesh. The economist services referenced herein were delivered at the client's premises in Dhaka and at the research institute located in Banani, Dhaka 1213.</w:t>
      </w:r>
    </w:p>
    <w:p>
      <w:pPr>
        <w:pStyle w:val="BodyText"/>
      </w:pPr>
      <w:r>
        <w:t xml:space="preserve">Chowdhury Economic Research Institute © 2025 | Registered in Bangladesh | All Rights Reserved</w:t>
      </w:r>
    </w:p>
    <w:p>
      <w:pPr>
        <w:pStyle w:val="BodyText"/>
      </w:pPr>
      <w:r>
        <w:t xml:space="preserve">For queries regarding this invoice, please contact the economist's office at +880-2-9887654 or m.hasan@ce-ri.org.bd during business hours (Saturday to Thursday, 9:00 AM – 5:30 PM, Dhaka time, GMT+6).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Bangladesh Dhaka</dc:title>
  <dc:creator/>
  <dc:language>en</dc:language>
  <cp:keywords/>
  <dcterms:created xsi:type="dcterms:W3CDTF">2026-10-10T07:03:53Z</dcterms:created>
  <dcterms:modified xsi:type="dcterms:W3CDTF">2026-10-10T07:03:53Z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