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Economist</w:t>
      </w:r>
      <w:r>
        <w:t xml:space="preserve"> </w:t>
      </w:r>
      <w:r>
        <w:t xml:space="preserve">|</w:t>
      </w:r>
      <w:r>
        <w:t xml:space="preserve"> </w:t>
      </w:r>
      <w:r>
        <w:t xml:space="preserve">Colombia</w:t>
      </w:r>
      <w:r>
        <w:t xml:space="preserve"> </w:t>
      </w:r>
      <w:r>
        <w:t xml:space="preserve">Bogotá</w:t>
      </w:r>
    </w:p>
    <w:bookmarkStart w:id="20" w:name="economist"/>
    <w:p>
      <w:pPr>
        <w:pStyle w:val="Heading1"/>
      </w:pPr>
      <w:r>
        <w:t xml:space="preserve">ECONOMIST</w:t>
      </w:r>
    </w:p>
    <w:p>
      <w:pPr>
        <w:pStyle w:val="FirstParagraph"/>
      </w:pPr>
      <w:r>
        <w:t xml:space="preserve">Economist Consulting &amp; Economic Advisory S.A.S.</w:t>
      </w:r>
    </w:p>
    <w:p>
      <w:pPr>
        <w:pStyle w:val="BodyText"/>
      </w:pPr>
      <w:r>
        <w:t xml:space="preserve">Cra. 11 # 93A-45, Piso 12, Zona Rosa</w:t>
      </w:r>
    </w:p>
    <w:p>
      <w:pPr>
        <w:pStyle w:val="BodyText"/>
      </w:pPr>
      <w:r>
        <w:t xml:space="preserve">Bogotá D.C., Colombia</w:t>
      </w:r>
    </w:p>
    <w:p>
      <w:pPr>
        <w:pStyle w:val="BodyText"/>
      </w:pPr>
      <w:r>
        <w:t xml:space="preserve">NIT: 901.234.567-8 | RUT: 901234567-8</w:t>
      </w:r>
    </w:p>
    <w:p>
      <w:pPr>
        <w:pStyle w:val="BodyText"/>
      </w:pPr>
      <w:r>
        <w:t xml:space="preserve">Phone: +57 (601) 745 8920 | Email: billing@economistbogota.co</w:t>
      </w:r>
    </w:p>
    <w:bookmarkEnd w:id="20"/>
    <w:bookmarkStart w:id="21" w:name="invoice"/>
    <w:p>
      <w:pPr>
        <w:pStyle w:val="Heading2"/>
      </w:pPr>
      <w:r>
        <w:t xml:space="preserve">INVOICE</w:t>
      </w:r>
    </w:p>
    <w:p>
      <w:pPr>
        <w:pStyle w:val="FirstParagraph"/>
      </w:pPr>
      <w:r>
        <w:t xml:space="preserve">FACTURA DE VENTA</w:t>
      </w:r>
    </w:p>
    <w:p>
      <w:pPr>
        <w:pStyle w:val="BodyText"/>
      </w:pPr>
      <w:r>
        <w:t xml:space="preserve">Invoice No.: ECO-2025-04872</w:t>
      </w:r>
    </w:p>
    <w:p>
      <w:pPr>
        <w:pStyle w:val="BodyText"/>
      </w:pPr>
      <w:r>
        <w:t xml:space="preserve">Issue Date: June 15, 2025</w:t>
      </w:r>
    </w:p>
    <w:p>
      <w:pPr>
        <w:pStyle w:val="BodyText"/>
      </w:pPr>
      <w:r>
        <w:t xml:space="preserve">Due Date: July 15, 2025</w:t>
      </w:r>
    </w:p>
    <w:bookmarkEnd w:id="21"/>
    <w:bookmarkStart w:id="22" w:name="billed-to"/>
    <w:p>
      <w:pPr>
        <w:pStyle w:val="Heading3"/>
      </w:pPr>
      <w:r>
        <w:t xml:space="preserve">Billed To</w:t>
      </w:r>
    </w:p>
    <w:p>
      <w:pPr>
        <w:pStyle w:val="FirstParagraph"/>
      </w:pPr>
      <w:r>
        <w:rPr>
          <w:bCs/>
          <w:b/>
        </w:rPr>
        <w:t xml:space="preserve">Grupo Financiero Andino S.A.</w:t>
      </w:r>
    </w:p>
    <w:p>
      <w:pPr>
        <w:pStyle w:val="BodyText"/>
      </w:pPr>
      <w:r>
        <w:t xml:space="preserve">Av. El Dorado # 49B-20, Piso 8</w:t>
      </w:r>
    </w:p>
    <w:p>
      <w:pPr>
        <w:pStyle w:val="BodyText"/>
      </w:pPr>
      <w:r>
        <w:t xml:space="preserve">Bogotá D.C., Colombia</w:t>
      </w:r>
    </w:p>
    <w:p>
      <w:pPr>
        <w:pStyle w:val="BodyText"/>
      </w:pPr>
      <w:r>
        <w:t xml:space="preserve">NIT: 830.456.789-1</w:t>
      </w:r>
    </w:p>
    <w:p>
      <w:pPr>
        <w:pStyle w:val="BodyText"/>
      </w:pPr>
      <w:r>
        <w:t xml:space="preserve">Contact: Lic. María Fernanda Restrepo</w:t>
      </w:r>
    </w:p>
    <w:p>
      <w:pPr>
        <w:pStyle w:val="BodyText"/>
      </w:pPr>
      <w:r>
        <w:t xml:space="preserve">Email: mrestrepo@grupoandino.co</w:t>
      </w:r>
    </w:p>
    <w:bookmarkEnd w:id="22"/>
    <w:bookmarkStart w:id="23" w:name="invoice-details"/>
    <w:p>
      <w:pPr>
        <w:pStyle w:val="Heading3"/>
      </w:pPr>
      <w:r>
        <w:t xml:space="preserve">Invoice Details</w:t>
      </w:r>
    </w:p>
    <w:p>
      <w:pPr>
        <w:pStyle w:val="FirstParagraph"/>
      </w:pPr>
      <w:r>
        <w:rPr>
          <w:bCs/>
          <w:b/>
        </w:rPr>
        <w:t xml:space="preserve">Service Period:</w:t>
      </w:r>
      <w:r>
        <w:t xml:space="preserve"> </w:t>
      </w:r>
      <w:r>
        <w:t xml:space="preserve">May 1 – May 31, 2025</w:t>
      </w:r>
    </w:p>
    <w:p>
      <w:pPr>
        <w:pStyle w:val="BodyText"/>
      </w:pPr>
      <w:r>
        <w:rPr>
          <w:bCs/>
          <w:b/>
        </w:rPr>
        <w:t xml:space="preserve">Payment Terms:</w:t>
      </w:r>
      <w:r>
        <w:t xml:space="preserve"> </w:t>
      </w:r>
      <w:r>
        <w:t xml:space="preserve">Net 30 Days</w:t>
      </w:r>
    </w:p>
    <w:p>
      <w:pPr>
        <w:pStyle w:val="BodyText"/>
      </w:pPr>
      <w:r>
        <w:rPr>
          <w:bCs/>
          <w:b/>
        </w:rPr>
        <w:t xml:space="preserve">Payment Method:</w:t>
      </w:r>
      <w:r>
        <w:t xml:space="preserve"> </w:t>
      </w:r>
      <w:r>
        <w:t xml:space="preserve">Bank Transfer</w:t>
      </w:r>
    </w:p>
    <w:p>
      <w:pPr>
        <w:pStyle w:val="BodyText"/>
      </w:pPr>
      <w:r>
        <w:rPr>
          <w:bCs/>
          <w:b/>
        </w:rPr>
        <w:t xml:space="preserve">Bank:</w:t>
      </w:r>
      <w:r>
        <w:t xml:space="preserve"> </w:t>
      </w:r>
      <w:r>
        <w:t xml:space="preserve">Bancolombia</w:t>
      </w:r>
    </w:p>
    <w:p>
      <w:pPr>
        <w:pStyle w:val="BodyText"/>
      </w:pPr>
      <w:r>
        <w:rPr>
          <w:bCs/>
          <w:b/>
        </w:rPr>
        <w:t xml:space="preserve">Account No.:</w:t>
      </w:r>
      <w:r>
        <w:t xml:space="preserve"> </w:t>
      </w:r>
      <w:r>
        <w:t xml:space="preserve">410-234567-89</w:t>
      </w:r>
    </w:p>
    <w:p>
      <w:pPr>
        <w:pStyle w:val="BodyText"/>
      </w:pPr>
      <w:r>
        <w:rPr>
          <w:bCs/>
          <w:b/>
        </w:rPr>
        <w:t xml:space="preserve">Reference:</w:t>
      </w:r>
      <w:r>
        <w:t xml:space="preserve"> </w:t>
      </w:r>
      <w:r>
        <w:t xml:space="preserve">ECO-2025-04872</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Service</w:t>
            </w:r>
          </w:p>
        </w:tc>
        <w:tc>
          <w:tcPr/>
          <w:p>
            <w:pPr>
              <w:pStyle w:val="Compact"/>
              <w:jc w:val="left"/>
            </w:pPr>
            <w:r>
              <w:t xml:space="preserve">Quantity</w:t>
            </w:r>
          </w:p>
        </w:tc>
        <w:tc>
          <w:tcPr/>
          <w:p>
            <w:pPr>
              <w:pStyle w:val="Compact"/>
              <w:jc w:val="left"/>
            </w:pPr>
            <w:r>
              <w:t xml:space="preserve">Unit Price (COP)</w:t>
            </w:r>
          </w:p>
        </w:tc>
        <w:tc>
          <w:tcPr/>
          <w:p>
            <w:pPr>
              <w:pStyle w:val="Compact"/>
              <w:jc w:val="left"/>
            </w:pPr>
            <w:r>
              <w:t xml:space="preserve">IVA (19%)</w:t>
            </w:r>
          </w:p>
        </w:tc>
        <w:tc>
          <w:tcPr/>
          <w:p>
            <w:pPr>
              <w:pStyle w:val="Compact"/>
              <w:jc w:val="left"/>
            </w:pPr>
            <w:r>
              <w:t xml:space="preserve">Subtotal (COP)</w:t>
            </w:r>
          </w:p>
        </w:tc>
      </w:tr>
      <w:tr>
        <w:tc>
          <w:tcPr/>
          <w:p>
            <w:pPr>
              <w:pStyle w:val="Compact"/>
              <w:jc w:val="left"/>
            </w:pPr>
            <w:r>
              <w:t xml:space="preserve">1</w:t>
            </w:r>
          </w:p>
        </w:tc>
        <w:tc>
          <w:tcPr/>
          <w:p>
            <w:pPr>
              <w:pStyle w:val="Compact"/>
              <w:jc w:val="left"/>
            </w:pPr>
            <w:r>
              <w:t xml:space="preserve">Macroeconomic Analysis &amp; Market Forecasting Report for Q2 2025 – Comprehensive economic assessment of Colombia's GDP trajectory, inflation outlook, and monetary policy implications prepared by the Economist advisory team in Bogotá.</w:t>
            </w:r>
          </w:p>
        </w:tc>
        <w:tc>
          <w:tcPr/>
          <w:p>
            <w:pPr>
              <w:pStyle w:val="Compact"/>
              <w:jc w:val="left"/>
            </w:pPr>
            <w:r>
              <w:t xml:space="preserve">1</w:t>
            </w:r>
          </w:p>
        </w:tc>
        <w:tc>
          <w:tcPr/>
          <w:p>
            <w:pPr>
              <w:pStyle w:val="Compact"/>
              <w:jc w:val="left"/>
            </w:pPr>
            <w:r>
              <w:t xml:space="preserve">12,500,000</w:t>
            </w:r>
          </w:p>
        </w:tc>
        <w:tc>
          <w:tcPr/>
          <w:p>
            <w:pPr>
              <w:pStyle w:val="Compact"/>
              <w:jc w:val="left"/>
            </w:pPr>
            <w:r>
              <w:t xml:space="preserve">2,375,000</w:t>
            </w:r>
          </w:p>
        </w:tc>
        <w:tc>
          <w:tcPr/>
          <w:p>
            <w:pPr>
              <w:pStyle w:val="Compact"/>
              <w:jc w:val="left"/>
            </w:pPr>
            <w:r>
              <w:t xml:space="preserve">14,875,000</w:t>
            </w:r>
          </w:p>
        </w:tc>
      </w:tr>
      <w:tr>
        <w:tc>
          <w:tcPr/>
          <w:p>
            <w:pPr>
              <w:pStyle w:val="Compact"/>
              <w:jc w:val="left"/>
            </w:pPr>
            <w:r>
              <w:t xml:space="preserve">2</w:t>
            </w:r>
          </w:p>
        </w:tc>
        <w:tc>
          <w:tcPr/>
          <w:p>
            <w:pPr>
              <w:pStyle w:val="Compact"/>
              <w:jc w:val="left"/>
            </w:pPr>
            <w:r>
              <w:t xml:space="preserve">Trade Policy Advisory &amp; International Commerce Strategy Session – On-site consultation at the client's Bogotá D.C. headquarters regarding Colombia's bilateral trade agreements, tariff structures, and export diversification opportunities in Latin American and global markets.</w:t>
            </w:r>
          </w:p>
        </w:tc>
        <w:tc>
          <w:tcPr/>
          <w:p>
            <w:pPr>
              <w:pStyle w:val="Compact"/>
              <w:jc w:val="left"/>
            </w:pPr>
            <w:r>
              <w:t xml:space="preserve">8 hrs</w:t>
            </w:r>
          </w:p>
        </w:tc>
        <w:tc>
          <w:tcPr/>
          <w:p>
            <w:pPr>
              <w:pStyle w:val="Compact"/>
              <w:jc w:val="left"/>
            </w:pPr>
            <w:r>
              <w:t xml:space="preserve">850,000</w:t>
            </w:r>
          </w:p>
        </w:tc>
        <w:tc>
          <w:tcPr/>
          <w:p>
            <w:pPr>
              <w:pStyle w:val="Compact"/>
              <w:jc w:val="left"/>
            </w:pPr>
            <w:r>
              <w:t xml:space="preserve">1,292,000</w:t>
            </w:r>
          </w:p>
        </w:tc>
        <w:tc>
          <w:tcPr/>
          <w:p>
            <w:pPr>
              <w:pStyle w:val="Compact"/>
              <w:jc w:val="left"/>
            </w:pPr>
            <w:r>
              <w:t xml:space="preserve">8,092,000</w:t>
            </w:r>
          </w:p>
        </w:tc>
      </w:tr>
      <w:tr>
        <w:tc>
          <w:tcPr/>
          <w:p>
            <w:pPr>
              <w:pStyle w:val="Compact"/>
              <w:jc w:val="left"/>
            </w:pPr>
            <w:r>
              <w:t xml:space="preserve">3</w:t>
            </w:r>
          </w:p>
        </w:tc>
        <w:tc>
          <w:tcPr/>
          <w:p>
            <w:pPr>
              <w:pStyle w:val="Compact"/>
              <w:jc w:val="left"/>
            </w:pPr>
            <w:r>
              <w:t xml:space="preserve">Fiscal Policy Impact Assessment – Detailed analysis of the proposed national budget amendments and their projected effects on corporate taxation, public investment cycles, and private sector growth within the Bogotá metropolitan region and national economy.</w:t>
            </w:r>
          </w:p>
        </w:tc>
        <w:tc>
          <w:tcPr/>
          <w:p>
            <w:pPr>
              <w:pStyle w:val="Compact"/>
              <w:jc w:val="left"/>
            </w:pPr>
            <w:r>
              <w:t xml:space="preserve">1</w:t>
            </w:r>
          </w:p>
        </w:tc>
        <w:tc>
          <w:tcPr/>
          <w:p>
            <w:pPr>
              <w:pStyle w:val="Compact"/>
              <w:jc w:val="left"/>
            </w:pPr>
            <w:r>
              <w:t xml:space="preserve">9,800,000</w:t>
            </w:r>
          </w:p>
        </w:tc>
        <w:tc>
          <w:tcPr/>
          <w:p>
            <w:pPr>
              <w:pStyle w:val="Compact"/>
              <w:jc w:val="left"/>
            </w:pPr>
            <w:r>
              <w:t xml:space="preserve">1,862,000</w:t>
            </w:r>
          </w:p>
        </w:tc>
        <w:tc>
          <w:tcPr/>
          <w:p>
            <w:pPr>
              <w:pStyle w:val="Compact"/>
              <w:jc w:val="left"/>
            </w:pPr>
            <w:r>
              <w:t xml:space="preserve">11,662,000</w:t>
            </w:r>
          </w:p>
        </w:tc>
      </w:tr>
      <w:tr>
        <w:tc>
          <w:tcPr/>
          <w:p>
            <w:pPr>
              <w:pStyle w:val="Compact"/>
              <w:jc w:val="left"/>
            </w:pPr>
            <w:r>
              <w:t xml:space="preserve">4</w:t>
            </w:r>
          </w:p>
        </w:tc>
        <w:tc>
          <w:tcPr/>
          <w:p>
            <w:pPr>
              <w:pStyle w:val="Compact"/>
              <w:jc w:val="left"/>
            </w:pPr>
            <w:r>
              <w:t xml:space="preserve">Monthly Economic Intelligence Newsletter &amp; Dashboard Access – Subscription to the Economist proprietary data platform providing real-time indicators on Colombian GDP, exchange rates (COP/USD), consumer confidence indices, and sector-specific performance metrics for the financial services industry.</w:t>
            </w:r>
          </w:p>
        </w:tc>
        <w:tc>
          <w:tcPr/>
          <w:p>
            <w:pPr>
              <w:pStyle w:val="Compact"/>
              <w:jc w:val="left"/>
            </w:pPr>
            <w:r>
              <w:t xml:space="preserve">1 month</w:t>
            </w:r>
          </w:p>
        </w:tc>
        <w:tc>
          <w:tcPr/>
          <w:p>
            <w:pPr>
              <w:pStyle w:val="Compact"/>
              <w:jc w:val="left"/>
            </w:pPr>
            <w:r>
              <w:t xml:space="preserve">3,200,000</w:t>
            </w:r>
          </w:p>
        </w:tc>
        <w:tc>
          <w:tcPr/>
          <w:p>
            <w:pPr>
              <w:pStyle w:val="Compact"/>
              <w:jc w:val="left"/>
            </w:pPr>
            <w:r>
              <w:t xml:space="preserve">608,000</w:t>
            </w:r>
          </w:p>
        </w:tc>
        <w:tc>
          <w:tcPr/>
          <w:p>
            <w:pPr>
              <w:pStyle w:val="Compact"/>
              <w:jc w:val="left"/>
            </w:pPr>
            <w:r>
              <w:t xml:space="preserve">3,808,000</w:t>
            </w:r>
          </w:p>
        </w:tc>
      </w:tr>
      <w:tr>
        <w:tc>
          <w:tcPr/>
          <w:p>
            <w:pPr>
              <w:pStyle w:val="Compact"/>
              <w:jc w:val="left"/>
            </w:pPr>
            <w:r>
              <w:t xml:space="preserve">5</w:t>
            </w:r>
          </w:p>
        </w:tc>
        <w:tc>
          <w:tcPr/>
          <w:p>
            <w:pPr>
              <w:pStyle w:val="Compact"/>
              <w:jc w:val="left"/>
            </w:pPr>
            <w:r>
              <w:t xml:space="preserve">Executive Briefing &amp; Presentation to Board of Directors – Preparation and delivery of a strategic economic outlook presentation by senior Economist analysts covering Colombia's competitive positioning, foreign direct investment trends, and risk mitigation strategies for the upcoming fiscal year.</w:t>
            </w:r>
          </w:p>
        </w:tc>
        <w:tc>
          <w:tcPr/>
          <w:p>
            <w:pPr>
              <w:pStyle w:val="Compact"/>
              <w:jc w:val="left"/>
            </w:pPr>
            <w:r>
              <w:t xml:space="preserve">1</w:t>
            </w:r>
          </w:p>
        </w:tc>
        <w:tc>
          <w:tcPr/>
          <w:p>
            <w:pPr>
              <w:pStyle w:val="Compact"/>
              <w:jc w:val="left"/>
            </w:pPr>
            <w:r>
              <w:t xml:space="preserve">6,500,000</w:t>
            </w:r>
          </w:p>
        </w:tc>
        <w:tc>
          <w:tcPr/>
          <w:p>
            <w:pPr>
              <w:pStyle w:val="Compact"/>
              <w:jc w:val="left"/>
            </w:pPr>
            <w:r>
              <w:t xml:space="preserve">1,235,000</w:t>
            </w:r>
          </w:p>
        </w:tc>
        <w:tc>
          <w:tcPr/>
          <w:p>
            <w:pPr>
              <w:pStyle w:val="Compact"/>
              <w:jc w:val="left"/>
            </w:pPr>
            <w:r>
              <w:t xml:space="preserve">7,735,000</w:t>
            </w:r>
          </w:p>
        </w:tc>
      </w:tr>
      <w:tr>
        <w:tc>
          <w:tcPr/>
          <w:p>
            <w:pPr>
              <w:pStyle w:val="Compact"/>
              <w:jc w:val="left"/>
            </w:pPr>
            <w:r>
              <w:t xml:space="preserve">6</w:t>
            </w:r>
          </w:p>
        </w:tc>
        <w:tc>
          <w:tcPr/>
          <w:p>
            <w:pPr>
              <w:pStyle w:val="Compact"/>
              <w:jc w:val="left"/>
            </w:pPr>
            <w:r>
              <w:t xml:space="preserve">Regulatory Compliance &amp; Economic Policy Monitoring – Ongoing surveillance of DIAN tax regulations, Banco de la República monetary decisions, and Superintendencia Financiera directives affecting the client's operations in Colombia, with weekly written updates delivered to the Bogotá office.</w:t>
            </w:r>
          </w:p>
        </w:tc>
        <w:tc>
          <w:tcPr/>
          <w:p>
            <w:pPr>
              <w:pStyle w:val="Compact"/>
              <w:jc w:val="left"/>
            </w:pPr>
            <w:r>
              <w:t xml:space="preserve">4 weeks</w:t>
            </w:r>
          </w:p>
        </w:tc>
        <w:tc>
          <w:tcPr/>
          <w:p>
            <w:pPr>
              <w:pStyle w:val="Compact"/>
              <w:jc w:val="left"/>
            </w:pPr>
            <w:r>
              <w:t xml:space="preserve">1,800,000</w:t>
            </w:r>
          </w:p>
        </w:tc>
        <w:tc>
          <w:tcPr/>
          <w:p>
            <w:pPr>
              <w:pStyle w:val="Compact"/>
              <w:jc w:val="left"/>
            </w:pPr>
            <w:r>
              <w:t xml:space="preserve">1,368,000</w:t>
            </w:r>
          </w:p>
        </w:tc>
        <w:tc>
          <w:tcPr/>
          <w:p>
            <w:pPr>
              <w:pStyle w:val="Compact"/>
              <w:jc w:val="left"/>
            </w:pPr>
            <w:r>
              <w:t xml:space="preserve">8,568,000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Subtotal (before IVA)</w:t>
            </w:r>
          </w:p>
        </w:tc>
        <w:tc>
          <w:tcPr/>
          <w:p>
            <w:pPr>
              <w:pStyle w:val="Compact"/>
              <w:jc w:val="left"/>
            </w:pPr>
            <w:r>
              <w:t xml:space="preserve">COP 43,800,000</w:t>
            </w:r>
          </w:p>
        </w:tc>
      </w:tr>
      <w:tr>
        <w:tc>
          <w:tcPr/>
          <w:p>
            <w:pPr>
              <w:pStyle w:val="Compact"/>
              <w:jc w:val="left"/>
            </w:pPr>
            <w:r>
              <w:rPr>
                <w:bCs/>
                <w:b/>
              </w:rPr>
              <w:t xml:space="preserve">IVA (19% – Colombian Value Added Tax)</w:t>
            </w:r>
          </w:p>
        </w:tc>
        <w:tc>
          <w:tcPr/>
          <w:p>
            <w:pPr>
              <w:pStyle w:val="Compact"/>
              <w:jc w:val="left"/>
            </w:pPr>
            <w:r>
              <w:t xml:space="preserve">COP 8,322,000</w:t>
            </w:r>
          </w:p>
        </w:tc>
      </w:tr>
      <w:tr>
        <w:tc>
          <w:tcPr/>
          <w:p>
            <w:pPr>
              <w:pStyle w:val="Compact"/>
              <w:jc w:val="left"/>
            </w:pPr>
            <w:r>
              <w:rPr>
                <w:bCs/>
                <w:b/>
              </w:rPr>
              <w:t xml:space="preserve">Discount – Annual Retainer Agreement</w:t>
            </w:r>
          </w:p>
        </w:tc>
        <w:tc>
          <w:tcPr/>
          <w:p>
            <w:pPr>
              <w:pStyle w:val="Compact"/>
              <w:jc w:val="left"/>
            </w:pPr>
            <w:r>
              <w:t xml:space="preserve">-COP 2,190,000</w:t>
            </w:r>
          </w:p>
        </w:tc>
      </w:tr>
      <w:tr>
        <w:tc>
          <w:tcPr/>
          <w:p>
            <w:pPr>
              <w:pStyle w:val="Compact"/>
              <w:jc w:val="left"/>
            </w:pPr>
            <w:r>
              <w:rPr>
                <w:bCs/>
                <w:b/>
              </w:rPr>
              <w:t xml:space="preserve">TOTAL AMOUNT DUE</w:t>
            </w:r>
          </w:p>
        </w:tc>
        <w:tc>
          <w:tcPr/>
          <w:p>
            <w:pPr>
              <w:pStyle w:val="Compact"/>
              <w:jc w:val="left"/>
            </w:pPr>
            <w:r>
              <w:rPr>
                <w:bCs/>
                <w:b/>
              </w:rPr>
              <w:t xml:space="preserve">COP 49,932,000</w:t>
            </w:r>
          </w:p>
        </w:tc>
      </w:tr>
    </w:tbl>
    <w:bookmarkStart w:id="24" w:name="terms-conditions-notes"/>
    <w:p>
      <w:pPr>
        <w:pStyle w:val="Heading3"/>
      </w:pPr>
      <w:r>
        <w:t xml:space="preserve">Terms, Conditions &amp; Notes</w:t>
      </w:r>
    </w:p>
    <w:p>
      <w:pPr>
        <w:pStyle w:val="FirstParagraph"/>
      </w:pPr>
      <w:r>
        <w:rPr>
          <w:bCs/>
          <w:b/>
        </w:rPr>
        <w:t xml:space="preserve">1.</w:t>
      </w:r>
      <w:r>
        <w:t xml:space="preserve"> </w:t>
      </w:r>
      <w:r>
        <w:t xml:space="preserve">This Invoice is issued by Economist Consulting &amp; Economic Advisory S.A.S., a legally registered entity in Colombia, operating under the jurisdiction of the Dirección de Impuestos y Aduanas Nacionales (DIAN) and the Cámara de Comercio de Bogotá. All services rendered are subject to the Colombian Commercial Code and applicable tax regulations.</w:t>
      </w:r>
    </w:p>
    <w:p>
      <w:pPr>
        <w:pStyle w:val="BodyText"/>
      </w:pPr>
      <w:r>
        <w:rPr>
          <w:bCs/>
          <w:b/>
        </w:rPr>
        <w:t xml:space="preserve">2.</w:t>
      </w:r>
      <w:r>
        <w:t xml:space="preserve"> </w:t>
      </w:r>
      <w:r>
        <w:t xml:space="preserve">Payment is due within thirty (30) calendar days from the issue date of this Invoice. Late payments shall accrue interest at the maximum rate established by the Banco de la República for Colombia, calculated on a daily basis from the due date until full settlement.</w:t>
      </w:r>
    </w:p>
    <w:p>
      <w:pPr>
        <w:pStyle w:val="BodyText"/>
      </w:pPr>
      <w:r>
        <w:rPr>
          <w:bCs/>
          <w:b/>
        </w:rPr>
        <w:t xml:space="preserve">3.</w:t>
      </w:r>
      <w:r>
        <w:t xml:space="preserve"> </w:t>
      </w:r>
      <w:r>
        <w:t xml:space="preserve">The IVA (Impuesto al Valor Agregado) of 19% applied in this Invoice is in accordance with the Colombian tax code (Estatuto Tributario, Articles 422–441). The client is entitled to claim the corresponding tax credit as per DIAN regulations for registered taxpayers in Colombia.</w:t>
      </w:r>
    </w:p>
    <w:p>
      <w:pPr>
        <w:pStyle w:val="BodyText"/>
      </w:pPr>
      <w:r>
        <w:rPr>
          <w:bCs/>
          <w:b/>
        </w:rPr>
        <w:t xml:space="preserve">4.</w:t>
      </w:r>
      <w:r>
        <w:t xml:space="preserve"> </w:t>
      </w:r>
      <w:r>
        <w:t xml:space="preserve">All economic analyses, forecasts, and advisory opinions provided by the Economist team are based on publicly available data, proprietary research models, and professional judgment. While the Economist firm in Bogotá exercises the highest standards of analytical rigor, no guarantee of specific economic outcomes is implied or warranted.</w:t>
      </w:r>
    </w:p>
    <w:p>
      <w:pPr>
        <w:pStyle w:val="BodyText"/>
      </w:pPr>
      <w:r>
        <w:rPr>
          <w:bCs/>
          <w:b/>
        </w:rPr>
        <w:t xml:space="preserve">5.</w:t>
      </w:r>
      <w:r>
        <w:t xml:space="preserve"> </w:t>
      </w:r>
      <w:r>
        <w:t xml:space="preserve">This Invoice constitutes a valid tax document (documento de soporte fiscal) for the purposes of corporate tax filing in Colombia. The client should retain this document for a minimum of ten (10) years in compliance with Colombian record-keeping requirements.</w:t>
      </w:r>
    </w:p>
    <w:p>
      <w:pPr>
        <w:pStyle w:val="BodyText"/>
      </w:pPr>
      <w:r>
        <w:rPr>
          <w:bCs/>
          <w:b/>
        </w:rPr>
        <w:t xml:space="preserve">6.</w:t>
      </w:r>
      <w:r>
        <w:t xml:space="preserve"> </w:t>
      </w:r>
      <w:r>
        <w:t xml:space="preserve">For any disputes arising from this Invoice or the services described herein, the parties agree to submit to the competent commercial courts of Bogotá D.C., Colombia, as the exclusive jurisdiction for resolution.</w:t>
      </w:r>
    </w:p>
    <w:p>
      <w:pPr>
        <w:pStyle w:val="BodyText"/>
      </w:pPr>
      <w:r>
        <w:rPr>
          <w:bCs/>
          <w:b/>
        </w:rPr>
        <w:t xml:space="preserve">7.</w:t>
      </w:r>
      <w:r>
        <w:t xml:space="preserve"> </w:t>
      </w:r>
      <w:r>
        <w:t xml:space="preserve">This Invoice was generated electronically in accordance with the DIAN electronic invoicing regulations (Resolución 000042 de 2023) and is valid without the need for a physical signature. The digital document carries the same legal force as a traditional paper Invoice in Colombia.</w:t>
      </w:r>
    </w:p>
    <w:bookmarkEnd w:id="24"/>
    <w:p>
      <w:pPr>
        <w:pStyle w:val="BodyText"/>
      </w:pPr>
      <w:r>
        <w:rPr>
          <w:bCs/>
          <w:b/>
        </w:rPr>
        <w:t xml:space="preserve">ECONOMIST</w:t>
      </w:r>
      <w:r>
        <w:t xml:space="preserve"> </w:t>
      </w:r>
      <w:r>
        <w:t xml:space="preserve">Consulting &amp; Economic Advisory S.A.S. | NIT: 901.234.567-8</w:t>
      </w:r>
    </w:p>
    <w:p>
      <w:pPr>
        <w:pStyle w:val="BodyText"/>
      </w:pPr>
      <w:r>
        <w:t xml:space="preserve">Cra. 11 # 93A-45, Piso 12, Zona Rosa, Bogotá D.C., Colombia</w:t>
      </w:r>
    </w:p>
    <w:p>
      <w:pPr>
        <w:pStyle w:val="BodyText"/>
      </w:pPr>
      <w:r>
        <w:t xml:space="preserve">Registered with DIAN – Colombia | RUT: 901234567-8 | Cámara de Comercio de Bogotá No. 53012345678</w:t>
      </w:r>
    </w:p>
    <w:p>
      <w:pPr>
        <w:pStyle w:val="BodyText"/>
      </w:pPr>
      <w:r>
        <w:t xml:space="preserve">Thank you for choosing Economist for your economic advisory needs in Colombia. We are committed to delivering world-class economic intelligence from the heart of Bogotá to clients across the nation and beyond.</w:t>
      </w:r>
    </w:p>
    <w:p>
      <w:pPr>
        <w:pStyle w:val="BodyText"/>
      </w:pPr>
      <w:r>
        <w:t xml:space="preserve">This Invoice is valid only with the electronic signature and DIAN validation code. Invoice No. ECO-2025-04872 | Generated: 2025-06-15 09:32:14 (COT, UTC-5)</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Economist | Colombia Bogotá</dc:title>
  <dc:creator/>
  <dc:language>en</dc:language>
  <cp:keywords/>
  <dcterms:created xsi:type="dcterms:W3CDTF">2026-10-10T03:17:25Z</dcterms:created>
  <dcterms:modified xsi:type="dcterms:W3CDTF">2026-10-10T03:17:25Z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