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Medellín,</w:t>
      </w:r>
      <w:r>
        <w:t xml:space="preserve"> </w:t>
      </w:r>
      <w:r>
        <w:t xml:space="preserve">Colombia</w:t>
      </w:r>
    </w:p>
    <w:bookmarkStart w:id="20" w:name="invoice"/>
    <w:p>
      <w:pPr>
        <w:pStyle w:val="Heading1"/>
      </w:pPr>
      <w:r>
        <w:t xml:space="preserve">INVOICE</w:t>
      </w:r>
    </w:p>
    <w:p>
      <w:pPr>
        <w:pStyle w:val="FirstParagraph"/>
      </w:pPr>
      <w:r>
        <w:t xml:space="preserve">Professional Economic Consulting &amp; Advisory Services</w:t>
      </w:r>
    </w:p>
    <w:p>
      <w:pPr>
        <w:pStyle w:val="BodyText"/>
      </w:pPr>
      <w:r>
        <w:t xml:space="preserve">Medellín, Antioquia – Colombia</w:t>
      </w:r>
    </w:p>
    <w:bookmarkEnd w:id="20"/>
    <w:p>
      <w:pPr>
        <w:pStyle w:val="BodyText"/>
      </w:pPr>
      <w:r>
        <w:rPr>
          <w:bCs/>
          <w:b/>
        </w:rPr>
        <w:t xml:space="preserve">Invoice No.:</w:t>
      </w:r>
      <w:r>
        <w:t xml:space="preserve"> </w:t>
      </w:r>
      <w:r>
        <w:t xml:space="preserve">INV-MDE-2025-0487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Official Document</w:t>
      </w:r>
    </w:p>
    <w:bookmarkStart w:id="21" w:name="service-provider-economist"/>
    <w:p>
      <w:pPr>
        <w:pStyle w:val="Heading3"/>
      </w:pPr>
      <w:r>
        <w:t xml:space="preserve">Service Provider (Economist)</w:t>
      </w:r>
    </w:p>
    <w:p>
      <w:pPr>
        <w:pStyle w:val="FirstParagraph"/>
      </w:pPr>
      <w:r>
        <w:rPr>
          <w:bCs/>
          <w:b/>
        </w:rPr>
        <w:t xml:space="preserve">Dr. Alejandro Restrepo Valencia</w:t>
      </w:r>
    </w:p>
    <w:p>
      <w:pPr>
        <w:pStyle w:val="BodyText"/>
      </w:pPr>
      <w:r>
        <w:t xml:space="preserve">Economist &amp; Senior Financial Analyst</w:t>
      </w:r>
    </w:p>
    <w:p>
      <w:pPr>
        <w:pStyle w:val="BodyText"/>
      </w:pPr>
      <w:r>
        <w:t xml:space="preserve">Cámara de Comercio de Medellín – RUT: 901.234.567-8</w:t>
      </w:r>
    </w:p>
    <w:p>
      <w:pPr>
        <w:pStyle w:val="BodyText"/>
      </w:pPr>
      <w:r>
        <w:t xml:space="preserve">Professional License No. ECO-ANT-2019-0342</w:t>
      </w:r>
    </w:p>
    <w:p>
      <w:pPr>
        <w:pStyle w:val="BodyText"/>
      </w:pPr>
      <w:r>
        <w:t xml:space="preserve">Calle 43A # 52-180, Of. 904</w:t>
      </w:r>
    </w:p>
    <w:p>
      <w:pPr>
        <w:pStyle w:val="BodyText"/>
      </w:pPr>
      <w:r>
        <w:t xml:space="preserve">El Poblado, Medellín, Antioquia</w:t>
      </w:r>
    </w:p>
    <w:p>
      <w:pPr>
        <w:pStyle w:val="BodyText"/>
      </w:pPr>
      <w:r>
        <w:t xml:space="preserve">Colombia</w:t>
      </w:r>
    </w:p>
    <w:p>
      <w:pPr>
        <w:pStyle w:val="BodyText"/>
      </w:pPr>
      <w:r>
        <w:t xml:space="preserve">Tel: +57 (604) 444 5678</w:t>
      </w:r>
    </w:p>
    <w:p>
      <w:pPr>
        <w:pStyle w:val="BodyText"/>
      </w:pPr>
      <w:r>
        <w:t xml:space="preserve">Email: a.restrepo@economistamedellin.co</w:t>
      </w:r>
    </w:p>
    <w:bookmarkEnd w:id="21"/>
    <w:bookmarkStart w:id="22" w:name="client-bill-to"/>
    <w:p>
      <w:pPr>
        <w:pStyle w:val="Heading3"/>
      </w:pPr>
      <w:r>
        <w:t xml:space="preserve">Client / Bill To</w:t>
      </w:r>
    </w:p>
    <w:p>
      <w:pPr>
        <w:pStyle w:val="FirstParagraph"/>
      </w:pPr>
      <w:r>
        <w:rPr>
          <w:bCs/>
          <w:b/>
        </w:rPr>
        <w:t xml:space="preserve">Grupo Industrial del Valle S.A.S.</w:t>
      </w:r>
    </w:p>
    <w:p>
      <w:pPr>
        <w:pStyle w:val="BodyText"/>
      </w:pPr>
      <w:r>
        <w:t xml:space="preserve">RUT: 830.456.789-1</w:t>
      </w:r>
    </w:p>
    <w:p>
      <w:pPr>
        <w:pStyle w:val="BodyText"/>
      </w:pPr>
      <w:r>
        <w:t xml:space="preserve">Av. La Playa # 63-100, Torre B, Piso 12</w:t>
      </w:r>
    </w:p>
    <w:p>
      <w:pPr>
        <w:pStyle w:val="BodyText"/>
      </w:pPr>
      <w:r>
        <w:t xml:space="preserve">El Poblado, Medellín, Antioquia</w:t>
      </w:r>
    </w:p>
    <w:p>
      <w:pPr>
        <w:pStyle w:val="BodyText"/>
      </w:pPr>
      <w:r>
        <w:t xml:space="preserve">Colombia</w:t>
      </w:r>
    </w:p>
    <w:p>
      <w:pPr>
        <w:pStyle w:val="BodyText"/>
      </w:pPr>
      <w:r>
        <w:t xml:space="preserve">Tel: +57 (604) 555 1234</w:t>
      </w:r>
    </w:p>
    <w:p>
      <w:pPr>
        <w:pStyle w:val="BodyText"/>
      </w:pPr>
      <w:r>
        <w:t xml:space="preserve">Email: finanzas@grupovalle.co</w:t>
      </w:r>
    </w:p>
    <w:p>
      <w:pPr>
        <w:pStyle w:val="BodyText"/>
      </w:pPr>
      <w:r>
        <w:t xml:space="preserve">Attn: Lic. Mariana Cárdenas – CFO</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Economist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Macroeconomic analysis and fiscal policy assessment for the Antioquia region, including GDP projections, inflation modeling, and monetary policy impact evaluation for the client's industrial operations in Medellín.</w:t>
            </w:r>
          </w:p>
        </w:tc>
        <w:tc>
          <w:tcPr/>
          <w:p>
            <w:pPr>
              <w:pStyle w:val="Compact"/>
              <w:jc w:val="left"/>
            </w:pPr>
            <w:r>
              <w:t xml:space="preserve">May 5 – May 16, 2025</w:t>
            </w:r>
          </w:p>
        </w:tc>
        <w:tc>
          <w:tcPr/>
          <w:p>
            <w:pPr>
              <w:pStyle w:val="Compact"/>
              <w:jc w:val="left"/>
            </w:pPr>
            <w:r>
              <w:t xml:space="preserve">48</w:t>
            </w:r>
          </w:p>
        </w:tc>
        <w:tc>
          <w:tcPr/>
          <w:p>
            <w:pPr>
              <w:pStyle w:val="Compact"/>
              <w:jc w:val="left"/>
            </w:pPr>
            <w:r>
              <w:t xml:space="preserve">$185,000</w:t>
            </w:r>
          </w:p>
        </w:tc>
        <w:tc>
          <w:tcPr/>
          <w:p>
            <w:pPr>
              <w:pStyle w:val="Compact"/>
              <w:jc w:val="left"/>
            </w:pPr>
            <w:r>
              <w:t xml:space="preserve">$8,880,000</w:t>
            </w:r>
          </w:p>
        </w:tc>
      </w:tr>
      <w:tr>
        <w:tc>
          <w:tcPr/>
          <w:p>
            <w:pPr>
              <w:pStyle w:val="Compact"/>
              <w:jc w:val="left"/>
            </w:pPr>
            <w:r>
              <w:t xml:space="preserve">2</w:t>
            </w:r>
          </w:p>
        </w:tc>
        <w:tc>
          <w:tcPr/>
          <w:p>
            <w:pPr>
              <w:pStyle w:val="Compact"/>
              <w:jc w:val="left"/>
            </w:pPr>
            <w:r>
              <w:t xml:space="preserve">Preparation of a comprehensive economic feasibility study for the proposed expansion of manufacturing facilities in the Medellín metropolitan area, incorporating labor market analysis, supply chain cost modeling, and regional trade dynamics under current Colombian tariff regulations.</w:t>
            </w:r>
          </w:p>
        </w:tc>
        <w:tc>
          <w:tcPr/>
          <w:p>
            <w:pPr>
              <w:pStyle w:val="Compact"/>
              <w:jc w:val="left"/>
            </w:pPr>
            <w:r>
              <w:t xml:space="preserve">May 19 – June 2, 2025</w:t>
            </w:r>
          </w:p>
        </w:tc>
        <w:tc>
          <w:tcPr/>
          <w:p>
            <w:pPr>
              <w:pStyle w:val="Compact"/>
              <w:jc w:val="left"/>
            </w:pPr>
            <w:r>
              <w:t xml:space="preserve">72</w:t>
            </w:r>
          </w:p>
        </w:tc>
        <w:tc>
          <w:tcPr/>
          <w:p>
            <w:pPr>
              <w:pStyle w:val="Compact"/>
              <w:jc w:val="left"/>
            </w:pPr>
            <w:r>
              <w:t xml:space="preserve">$185,000</w:t>
            </w:r>
          </w:p>
        </w:tc>
        <w:tc>
          <w:tcPr/>
          <w:p>
            <w:pPr>
              <w:pStyle w:val="Compact"/>
              <w:jc w:val="left"/>
            </w:pPr>
            <w:r>
              <w:t xml:space="preserve">$13,320,000</w:t>
            </w:r>
          </w:p>
        </w:tc>
      </w:tr>
      <w:tr>
        <w:tc>
          <w:tcPr/>
          <w:p>
            <w:pPr>
              <w:pStyle w:val="Compact"/>
              <w:jc w:val="left"/>
            </w:pPr>
            <w:r>
              <w:t xml:space="preserve">3</w:t>
            </w:r>
          </w:p>
        </w:tc>
        <w:tc>
          <w:tcPr/>
          <w:p>
            <w:pPr>
              <w:pStyle w:val="Compact"/>
              <w:jc w:val="left"/>
            </w:pPr>
            <w:r>
              <w:t xml:space="preserve">Economic risk assessment and scenario planning for foreign exchange exposure, including sensitivity analysis of COP/USD and COP/EUR fluctuations on the client's import-export portfolio, with recommendations for hedging strategies aligned with Banco de la República monetary policy outlook.</w:t>
            </w:r>
          </w:p>
        </w:tc>
        <w:tc>
          <w:tcPr/>
          <w:p>
            <w:pPr>
              <w:pStyle w:val="Compact"/>
              <w:jc w:val="left"/>
            </w:pPr>
            <w:r>
              <w:t xml:space="preserve">June 3 – June 9, 2025</w:t>
            </w:r>
          </w:p>
        </w:tc>
        <w:tc>
          <w:tcPr/>
          <w:p>
            <w:pPr>
              <w:pStyle w:val="Compact"/>
              <w:jc w:val="left"/>
            </w:pPr>
            <w:r>
              <w:t xml:space="preserve">36</w:t>
            </w:r>
          </w:p>
        </w:tc>
        <w:tc>
          <w:tcPr/>
          <w:p>
            <w:pPr>
              <w:pStyle w:val="Compact"/>
              <w:jc w:val="left"/>
            </w:pPr>
            <w:r>
              <w:t xml:space="preserve">$185,000</w:t>
            </w:r>
          </w:p>
        </w:tc>
        <w:tc>
          <w:tcPr/>
          <w:p>
            <w:pPr>
              <w:pStyle w:val="Compact"/>
              <w:jc w:val="left"/>
            </w:pPr>
            <w:r>
              <w:t xml:space="preserve">$6,660,000</w:t>
            </w:r>
          </w:p>
        </w:tc>
      </w:tr>
      <w:tr>
        <w:tc>
          <w:tcPr/>
          <w:p>
            <w:pPr>
              <w:pStyle w:val="Compact"/>
              <w:jc w:val="left"/>
            </w:pPr>
            <w:r>
              <w:t xml:space="preserve">4</w:t>
            </w:r>
          </w:p>
        </w:tc>
        <w:tc>
          <w:tcPr/>
          <w:p>
            <w:pPr>
              <w:pStyle w:val="Compact"/>
              <w:jc w:val="left"/>
            </w:pPr>
            <w:r>
              <w:t xml:space="preserve">Advisory session and presentation to the Board of Directors of Grupo Industrial del Valle S.A.S. regarding the 2025–2027 economic outlook for Colombia, focusing on fiscal sustainability, infrastructure investment cycles in Antioquia, and competitive positioning within the broader Latin American market.</w:t>
            </w:r>
          </w:p>
        </w:tc>
        <w:tc>
          <w:tcPr/>
          <w:p>
            <w:pPr>
              <w:pStyle w:val="Compact"/>
              <w:jc w:val="left"/>
            </w:pPr>
            <w:r>
              <w:t xml:space="preserve">June 10, 2025</w:t>
            </w:r>
          </w:p>
        </w:tc>
        <w:tc>
          <w:tcPr/>
          <w:p>
            <w:pPr>
              <w:pStyle w:val="Compact"/>
              <w:jc w:val="left"/>
            </w:pPr>
            <w:r>
              <w:t xml:space="preserve">6</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Regulatory compliance review of economic and tax obligations under Colombian national and municipal (Medellín) tax codes, including analysis of the Impuesto de Industria y Comercio (IIC) applicable to the client's operations and recommendations for optimal fiscal structuring.</w:t>
            </w:r>
          </w:p>
        </w:tc>
        <w:tc>
          <w:tcPr/>
          <w:p>
            <w:pPr>
              <w:pStyle w:val="Compact"/>
              <w:jc w:val="left"/>
            </w:pPr>
            <w:r>
              <w:t xml:space="preserve">June 11 – June 14, 2025</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rPr>
                <w:bCs/>
                <w:b/>
              </w:rPr>
              <w:t xml:space="preserve">$34,800,000</w:t>
            </w:r>
          </w:p>
        </w:tc>
      </w:tr>
      <w:tr>
        <w:tc>
          <w:tcPr/>
          <w:p>
            <w:pPr>
              <w:pStyle w:val="Compact"/>
              <w:jc w:val="left"/>
            </w:pPr>
            <w:r>
              <w:t xml:space="preserve">IVA – Value Added Tax (19%)</w:t>
            </w:r>
          </w:p>
        </w:tc>
        <w:tc>
          <w:tcPr/>
          <w:p>
            <w:pPr>
              <w:pStyle w:val="Compact"/>
              <w:jc w:val="right"/>
            </w:pPr>
            <w:r>
              <w:t xml:space="preserve">$6,612,000</w:t>
            </w:r>
          </w:p>
        </w:tc>
      </w:tr>
      <w:tr>
        <w:tc>
          <w:tcPr/>
          <w:p>
            <w:pPr>
              <w:pStyle w:val="Compact"/>
              <w:jc w:val="left"/>
            </w:pPr>
            <w:r>
              <w:t xml:space="preserve">Retención en la Fuente – Withholding Tax (4%)</w:t>
            </w:r>
          </w:p>
        </w:tc>
        <w:tc>
          <w:tcPr/>
          <w:p>
            <w:pPr>
              <w:pStyle w:val="Compact"/>
              <w:jc w:val="right"/>
            </w:pPr>
            <w:r>
              <w:t xml:space="preserve">($1,392,000)</w:t>
            </w:r>
          </w:p>
        </w:tc>
      </w:tr>
      <w:tr>
        <w:tc>
          <w:tcPr/>
          <w:p>
            <w:pPr>
              <w:pStyle w:val="Compact"/>
              <w:jc w:val="left"/>
            </w:pPr>
            <w:r>
              <w:t xml:space="preserve">Net Amount Due (COP)</w:t>
            </w:r>
          </w:p>
        </w:tc>
        <w:tc>
          <w:tcPr/>
          <w:p>
            <w:pPr>
              <w:pStyle w:val="Compact"/>
              <w:jc w:val="right"/>
            </w:pPr>
            <w:r>
              <w:t xml:space="preserve">$40,020,000</w:t>
            </w:r>
          </w:p>
        </w:tc>
      </w:tr>
      <w:tr>
        <w:tc>
          <w:tcPr/>
          <w:p>
            <w:pPr>
              <w:pStyle w:val="Compact"/>
              <w:jc w:val="left"/>
            </w:pPr>
            <w:r>
              <w:t xml:space="preserve">Equivalent in USD (approx.)</w:t>
            </w:r>
          </w:p>
        </w:tc>
        <w:tc>
          <w:tcPr/>
          <w:p>
            <w:pPr>
              <w:pStyle w:val="Compact"/>
              <w:jc w:val="right"/>
            </w:pPr>
            <w:r>
              <w:t xml:space="preserve">~$10,155.00</w:t>
            </w:r>
          </w:p>
        </w:tc>
      </w:tr>
    </w:tbl>
    <w:bookmarkStart w:id="23" w:name="payment-instructions-notes"/>
    <w:p>
      <w:pPr>
        <w:pStyle w:val="Heading3"/>
      </w:pPr>
      <w:r>
        <w:t xml:space="preserve">Payment Instructions &amp; Notes</w:t>
      </w:r>
    </w:p>
    <w:p>
      <w:pPr>
        <w:pStyle w:val="FirstParagraph"/>
      </w:pPr>
      <w:r>
        <w:t xml:space="preserve">All payments shall be made in Colombian Pesos (COP) to the following bank account:</w:t>
      </w:r>
    </w:p>
    <w:p>
      <w:pPr>
        <w:pStyle w:val="BodyText"/>
      </w:pPr>
      <w:r>
        <w:rPr>
          <w:bCs/>
          <w:b/>
        </w:rPr>
        <w:t xml:space="preserve">Bank:</w:t>
      </w:r>
      <w:r>
        <w:t xml:space="preserve"> </w:t>
      </w:r>
      <w:r>
        <w:t xml:space="preserve">Banco de Bogotá – Medellín Branch</w:t>
      </w:r>
    </w:p>
    <w:p>
      <w:pPr>
        <w:pStyle w:val="BodyText"/>
      </w:pPr>
      <w:r>
        <w:rPr>
          <w:bCs/>
          <w:b/>
        </w:rPr>
        <w:t xml:space="preserve">Account Type:</w:t>
      </w:r>
      <w:r>
        <w:t xml:space="preserve"> </w:t>
      </w:r>
      <w:r>
        <w:t xml:space="preserve">Cuenta de Ahorros</w:t>
      </w:r>
    </w:p>
    <w:p>
      <w:pPr>
        <w:pStyle w:val="BodyText"/>
      </w:pPr>
      <w:r>
        <w:rPr>
          <w:bCs/>
          <w:b/>
        </w:rPr>
        <w:t xml:space="preserve">Account No.:</w:t>
      </w:r>
      <w:r>
        <w:t xml:space="preserve"> </w:t>
      </w:r>
      <w:r>
        <w:t xml:space="preserve">016-456789-01</w:t>
      </w:r>
    </w:p>
    <w:p>
      <w:pPr>
        <w:pStyle w:val="BodyText"/>
      </w:pPr>
      <w:r>
        <w:rPr>
          <w:bCs/>
          <w:b/>
        </w:rPr>
        <w:t xml:space="preserve">SWIFT Code:</w:t>
      </w:r>
      <w:r>
        <w:t xml:space="preserve"> </w:t>
      </w:r>
      <w:r>
        <w:t xml:space="preserve">BBDCCO88</w:t>
      </w:r>
    </w:p>
    <w:p>
      <w:pPr>
        <w:pStyle w:val="BodyText"/>
      </w:pPr>
      <w:r>
        <w:rPr>
          <w:bCs/>
          <w:b/>
        </w:rPr>
        <w:t xml:space="preserve">IBAN:</w:t>
      </w:r>
      <w:r>
        <w:t xml:space="preserve"> </w:t>
      </w:r>
      <w:r>
        <w:t xml:space="preserve">CO01 BBDC 8800 0164 5678 901</w:t>
      </w:r>
    </w:p>
    <w:p>
      <w:pPr>
        <w:pStyle w:val="BodyText"/>
      </w:pPr>
      <w:r>
        <w:t xml:space="preserve">Please reference Invoice No. INV-MDE-2025-0487 in all payment communications. Late payments shall accrue interest at the rate established by the Banco de la República for overdue obligations, in accordance with Colombian commercial law (Código de Comercio, Articles 874–876).</w:t>
      </w:r>
    </w:p>
    <w:p>
      <w:pPr>
        <w:pStyle w:val="BodyText"/>
      </w:pPr>
      <w:r>
        <w:t xml:space="preserve">This invoice constitutes a valid fiscal document (Factura Electrónica) issued in compliance with the regulations of the Dirección de Impuestos y Aduanas Nacionales (DIAN) of Colombia and the electronic invoicing standards mandated by Resolución DIAN 000042 de 2020.</w:t>
      </w:r>
    </w:p>
    <w:bookmarkEnd w:id="23"/>
    <w:bookmarkStart w:id="24" w:name="legal-regulatory-disclaimer"/>
    <w:p>
      <w:pPr>
        <w:pStyle w:val="Heading3"/>
      </w:pPr>
      <w:r>
        <w:t xml:space="preserve">Legal &amp; Regulatory Disclaimer</w:t>
      </w:r>
    </w:p>
    <w:p>
      <w:pPr>
        <w:pStyle w:val="FirstParagraph"/>
      </w:pPr>
      <w:r>
        <w:t xml:space="preserve">This invoice is issued by a licensed Economist registered with the Cámara de Comercio de Medellín and the Colegio de Economistas de Antioquia. All economic analyses, projections, and advisory services rendered are based on publicly available data, established econometric models, and professional judgment as of the dates indicated. The Economist makes no guarantee of specific financial outcomes. The client acknowledges that economic forecasts are inherently subject to uncertainty and that actual results may differ materially from projections.</w:t>
      </w:r>
    </w:p>
    <w:p>
      <w:pPr>
        <w:pStyle w:val="BodyText"/>
      </w:pPr>
      <w:r>
        <w:t xml:space="preserve">This document is governed by the laws of the Republic of Colombia. Any disputes arising from this invoice or the services described herein shall be subject to the exclusive jurisdiction of the commercial courts of Medellín, Antioquia, Colombia. The parties agree to attempt mediation before initiating any formal litigation, in accordance with the principles of the Colombian Civil and Commercial Codes.</w:t>
      </w:r>
    </w:p>
    <w:p>
      <w:pPr>
        <w:pStyle w:val="BodyText"/>
      </w:pPr>
      <w:r>
        <w:t xml:space="preserve">The services described in this invoice were performed in full compliance with the professional ethics code of the Colegio de Economistas de Antioquia and the data protection regulations established by Ley 1581 de 2012 (Ley de Protección de Datos Personales) of Colombia. All confidential information provided by the client during the engagement period is subject to a separate Non-Disclosure Agreement (NDA) executed on April 28, 2025.</w:t>
      </w:r>
    </w:p>
    <w:p>
      <w:pPr>
        <w:pStyle w:val="BodyText"/>
      </w:pPr>
      <w:r>
        <w:t xml:space="preserve">This invoice is valid for a period of thirty (30) calendar days from the issue date. After this period, the amounts stated herein may be subject to revision based on prevailing economic conditions in Colombia, including but not limited to changes in the exchange rate, inflation index (IPC) published by DANE, or modifications to the national tax framework.</w:t>
      </w:r>
    </w:p>
    <w:bookmarkEnd w:id="24"/>
    <w:p>
      <w:pPr>
        <w:pStyle w:val="BodyText"/>
      </w:pPr>
      <w:r>
        <w:rPr>
          <w:bCs/>
          <w:b/>
        </w:rPr>
        <w:t xml:space="preserve">Dr. Alejandro Restrepo Valencia</w:t>
      </w:r>
    </w:p>
    <w:p>
      <w:pPr>
        <w:pStyle w:val="BodyText"/>
      </w:pPr>
      <w:r>
        <w:t xml:space="preserve">Economist – Service Provider</w:t>
      </w:r>
    </w:p>
    <w:p>
      <w:pPr>
        <w:pStyle w:val="BodyText"/>
      </w:pPr>
      <w:r>
        <w:t xml:space="preserve">License No. ECO-ANT-2019-0342</w:t>
      </w:r>
    </w:p>
    <w:p>
      <w:pPr>
        <w:pStyle w:val="BodyText"/>
      </w:pPr>
      <w:r>
        <w:rPr>
          <w:bCs/>
          <w:b/>
        </w:rPr>
        <w:t xml:space="preserve">Lic. Mariana Cárdenas</w:t>
      </w:r>
    </w:p>
    <w:p>
      <w:pPr>
        <w:pStyle w:val="BodyText"/>
      </w:pPr>
      <w:r>
        <w:t xml:space="preserve">Chief Financial Officer</w:t>
      </w:r>
    </w:p>
    <w:p>
      <w:pPr>
        <w:pStyle w:val="BodyText"/>
      </w:pPr>
      <w:r>
        <w:t xml:space="preserve">Grupo Industrial del Valle S.A.S.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Medellín, Colombia</dc:title>
  <dc:creator/>
  <dc:language>en</dc:language>
  <cp:keywords/>
  <dcterms:created xsi:type="dcterms:W3CDTF">2026-10-10T02:03:15Z</dcterms:created>
  <dcterms:modified xsi:type="dcterms:W3CDTF">2026-10-10T02:03:15Z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