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Consulting</w:t>
      </w:r>
      <w:r>
        <w:t xml:space="preserve"> </w:t>
      </w:r>
      <w:r>
        <w:t xml:space="preserve">Services</w:t>
      </w:r>
      <w:r>
        <w:t xml:space="preserve"> </w:t>
      </w:r>
      <w:r>
        <w:t xml:space="preserve">-</w:t>
      </w:r>
      <w:r>
        <w:t xml:space="preserve"> </w:t>
      </w:r>
      <w:r>
        <w:t xml:space="preserve">Berlin,</w:t>
      </w:r>
      <w:r>
        <w:t xml:space="preserve"> </w:t>
      </w:r>
      <w:r>
        <w:t xml:space="preserve">Germany</w:t>
      </w:r>
    </w:p>
    <w:bookmarkStart w:id="20" w:name="economist-advisory-group-gmbh"/>
    <w:p>
      <w:pPr>
        <w:pStyle w:val="Heading1"/>
      </w:pPr>
      <w:r>
        <w:t xml:space="preserve">Economist Advisory Group GmbH</w:t>
      </w:r>
    </w:p>
    <w:p>
      <w:pPr>
        <w:pStyle w:val="FirstParagraph"/>
      </w:pPr>
      <w:r>
        <w:t xml:space="preserve">Unter den Linden 85, 10117 Berlin, Germany</w:t>
      </w:r>
    </w:p>
    <w:p>
      <w:pPr>
        <w:pStyle w:val="BodyText"/>
      </w:pPr>
      <w:r>
        <w:t xml:space="preserve">Phone: +49 (0)30 555 7820 | Email: billing@economist-advisory.de</w:t>
      </w:r>
    </w:p>
    <w:p>
      <w:pPr>
        <w:pStyle w:val="BodyText"/>
      </w:pPr>
      <w:r>
        <w:t xml:space="preserve">HRB 123456 B, Amtsgericht Charlottenburg, Berlin</w:t>
      </w:r>
    </w:p>
    <w:p>
      <w:pPr>
        <w:pStyle w:val="BodyText"/>
      </w:pPr>
      <w:r>
        <w:t xml:space="preserve">VAT ID: DE 312 456 789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EA-2025-04871</w:t>
      </w:r>
    </w:p>
    <w:p>
      <w:pPr>
        <w:pStyle w:val="BodyText"/>
      </w:pPr>
      <w:r>
        <w:rPr>
          <w:bCs/>
          <w:b/>
        </w:rPr>
        <w:t xml:space="preserve">Issue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Service Period:</w:t>
      </w:r>
      <w:r>
        <w:t xml:space="preserve"> </w:t>
      </w:r>
      <w:r>
        <w:t xml:space="preserve">01 May 2025 – 31 May 2025</w:t>
      </w:r>
    </w:p>
    <w:bookmarkEnd w:id="21"/>
    <w:bookmarkStart w:id="22" w:name="bill-from"/>
    <w:p>
      <w:pPr>
        <w:pStyle w:val="Heading3"/>
      </w:pPr>
      <w:r>
        <w:t xml:space="preserve">Bill From</w:t>
      </w:r>
    </w:p>
    <w:p>
      <w:pPr>
        <w:pStyle w:val="FirstParagraph"/>
      </w:pPr>
      <w:r>
        <w:rPr>
          <w:bCs/>
          <w:b/>
        </w:rPr>
        <w:t xml:space="preserve">Economist Advisory Group GmbH</w:t>
      </w:r>
    </w:p>
    <w:p>
      <w:pPr>
        <w:pStyle w:val="BodyText"/>
      </w:pPr>
      <w:r>
        <w:t xml:space="preserve">Dr. Helena Marchetti, Lead Economist</w:t>
      </w:r>
    </w:p>
    <w:p>
      <w:pPr>
        <w:pStyle w:val="BodyText"/>
      </w:pPr>
      <w:r>
        <w:t xml:space="preserve">Unter den Linden 85</w:t>
      </w:r>
    </w:p>
    <w:p>
      <w:pPr>
        <w:pStyle w:val="BodyText"/>
      </w:pPr>
      <w:r>
        <w:t xml:space="preserve">10117 Berlin, Germany</w:t>
      </w:r>
    </w:p>
    <w:p>
      <w:pPr>
        <w:pStyle w:val="BodyText"/>
      </w:pPr>
      <w:r>
        <w:t xml:space="preserve">Tax Number: 030/123/45678</w:t>
      </w:r>
    </w:p>
    <w:p>
      <w:pPr>
        <w:pStyle w:val="BodyText"/>
      </w:pPr>
      <w:r>
        <w:t xml:space="preserve">VAT Registered – Germany</w:t>
      </w:r>
    </w:p>
    <w:bookmarkEnd w:id="22"/>
    <w:bookmarkStart w:id="23" w:name="bill-to"/>
    <w:p>
      <w:pPr>
        <w:pStyle w:val="Heading3"/>
      </w:pPr>
      <w:r>
        <w:t xml:space="preserve">Bill To</w:t>
      </w:r>
    </w:p>
    <w:p>
      <w:pPr>
        <w:pStyle w:val="FirstParagraph"/>
      </w:pPr>
      <w:r>
        <w:rPr>
          <w:bCs/>
          <w:b/>
        </w:rPr>
        <w:t xml:space="preserve">Meridian Capital Partners AG</w:t>
      </w:r>
    </w:p>
    <w:p>
      <w:pPr>
        <w:pStyle w:val="BodyText"/>
      </w:pPr>
      <w:r>
        <w:t xml:space="preserve">Attn: Mr. Klaus Reinhardt, CFO</w:t>
      </w:r>
    </w:p>
    <w:p>
      <w:pPr>
        <w:pStyle w:val="BodyText"/>
      </w:pPr>
      <w:r>
        <w:t xml:space="preserve">Friedrichstraße 210</w:t>
      </w:r>
    </w:p>
    <w:p>
      <w:pPr>
        <w:pStyle w:val="BodyText"/>
      </w:pPr>
      <w:r>
        <w:t xml:space="preserve">10117 Berlin, Germany</w:t>
      </w:r>
    </w:p>
    <w:p>
      <w:pPr>
        <w:pStyle w:val="BodyText"/>
      </w:pPr>
      <w:r>
        <w:t xml:space="preserve">Client Reference: MCP-EC-2025-09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Macroeconomic analysis and forecasting for the German and European markets, prepared by a senior Economist for Meridian Capital's quarterly investment strategy review in Berlin.</w:t>
            </w:r>
          </w:p>
        </w:tc>
        <w:tc>
          <w:tcPr/>
          <w:p>
            <w:pPr>
              <w:pStyle w:val="Compact"/>
              <w:jc w:val="left"/>
            </w:pPr>
            <w:r>
              <w:t xml:space="preserve">05 May 2025</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2</w:t>
            </w:r>
          </w:p>
        </w:tc>
        <w:tc>
          <w:tcPr/>
          <w:p>
            <w:pPr>
              <w:pStyle w:val="Compact"/>
              <w:jc w:val="left"/>
            </w:pPr>
            <w:r>
              <w:t xml:space="preserve">Preparation of a comprehensive economic outlook report covering inflation trends, Bundesbank monetary policy implications, and GDP projections for the Berlin metropolitan region and the broader German economy.</w:t>
            </w:r>
          </w:p>
        </w:tc>
        <w:tc>
          <w:tcPr/>
          <w:p>
            <w:pPr>
              <w:pStyle w:val="Compact"/>
              <w:jc w:val="left"/>
            </w:pPr>
            <w:r>
              <w:t xml:space="preserve">12 May 2025</w:t>
            </w:r>
          </w:p>
        </w:tc>
        <w:tc>
          <w:tcPr/>
          <w:p>
            <w:pPr>
              <w:pStyle w:val="Compact"/>
              <w:jc w:val="left"/>
            </w:pPr>
            <w:r>
              <w:t xml:space="preserve">16.0</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3</w:t>
            </w:r>
          </w:p>
        </w:tc>
        <w:tc>
          <w:tcPr/>
          <w:p>
            <w:pPr>
              <w:pStyle w:val="Compact"/>
              <w:jc w:val="left"/>
            </w:pPr>
            <w:r>
              <w:t xml:space="preserve">On-site consultation at the client's Berlin headquarters regarding fiscal policy impacts on the energy and manufacturing sectors, conducted by the lead Economist and two junior analysts.</w:t>
            </w:r>
          </w:p>
        </w:tc>
        <w:tc>
          <w:tcPr/>
          <w:p>
            <w:pPr>
              <w:pStyle w:val="Compact"/>
              <w:jc w:val="left"/>
            </w:pPr>
            <w:r>
              <w:t xml:space="preserve">19 May 2025</w:t>
            </w:r>
          </w:p>
        </w:tc>
        <w:tc>
          <w:tcPr/>
          <w:p>
            <w:pPr>
              <w:pStyle w:val="Compact"/>
              <w:jc w:val="left"/>
            </w:pPr>
            <w:r>
              <w:t xml:space="preserve">8.0</w:t>
            </w:r>
          </w:p>
        </w:tc>
        <w:tc>
          <w:tcPr/>
          <w:p>
            <w:pPr>
              <w:pStyle w:val="Compact"/>
              <w:jc w:val="left"/>
            </w:pPr>
            <w:r>
              <w:t xml:space="preserve">210.00</w:t>
            </w:r>
          </w:p>
        </w:tc>
        <w:tc>
          <w:tcPr/>
          <w:p>
            <w:pPr>
              <w:pStyle w:val="Compact"/>
              <w:jc w:val="left"/>
            </w:pPr>
            <w:r>
              <w:t xml:space="preserve">1,680.00</w:t>
            </w:r>
          </w:p>
        </w:tc>
      </w:tr>
      <w:tr>
        <w:tc>
          <w:tcPr/>
          <w:p>
            <w:pPr>
              <w:pStyle w:val="Compact"/>
              <w:jc w:val="left"/>
            </w:pPr>
            <w:r>
              <w:t xml:space="preserve">4</w:t>
            </w:r>
          </w:p>
        </w:tc>
        <w:tc>
          <w:tcPr/>
          <w:p>
            <w:pPr>
              <w:pStyle w:val="Compact"/>
              <w:jc w:val="left"/>
            </w:pPr>
            <w:r>
              <w:t xml:space="preserve">Development of risk assessment models for cross-border trade within the European Union, with specific focus on regulatory changes affecting German export markets in the Berlin corridor.</w:t>
            </w:r>
          </w:p>
        </w:tc>
        <w:tc>
          <w:tcPr/>
          <w:p>
            <w:pPr>
              <w:pStyle w:val="Compact"/>
              <w:jc w:val="left"/>
            </w:pPr>
            <w:r>
              <w:t xml:space="preserve">23 May 2025</w:t>
            </w:r>
          </w:p>
        </w:tc>
        <w:tc>
          <w:tcPr/>
          <w:p>
            <w:pPr>
              <w:pStyle w:val="Compact"/>
              <w:jc w:val="left"/>
            </w:pPr>
            <w:r>
              <w:t xml:space="preserve">14.0</w:t>
            </w:r>
          </w:p>
        </w:tc>
        <w:tc>
          <w:tcPr/>
          <w:p>
            <w:pPr>
              <w:pStyle w:val="Compact"/>
              <w:jc w:val="left"/>
            </w:pPr>
            <w:r>
              <w:t xml:space="preserve">185.00</w:t>
            </w:r>
          </w:p>
        </w:tc>
        <w:tc>
          <w:tcPr/>
          <w:p>
            <w:pPr>
              <w:pStyle w:val="Compact"/>
              <w:jc w:val="left"/>
            </w:pPr>
            <w:r>
              <w:t xml:space="preserve">2,590.00</w:t>
            </w:r>
          </w:p>
        </w:tc>
      </w:tr>
      <w:tr>
        <w:tc>
          <w:tcPr/>
          <w:p>
            <w:pPr>
              <w:pStyle w:val="Compact"/>
              <w:jc w:val="left"/>
            </w:pPr>
            <w:r>
              <w:t xml:space="preserve">5</w:t>
            </w:r>
          </w:p>
        </w:tc>
        <w:tc>
          <w:tcPr/>
          <w:p>
            <w:pPr>
              <w:pStyle w:val="Compact"/>
              <w:jc w:val="left"/>
            </w:pPr>
            <w:r>
              <w:t xml:space="preserve">Final presentation and executive briefing to the Meridian Capital board of directors in Berlin, summarizing all economic findings, forecasts, and strategic recommendations delivered by the Economist team during the service period.</w:t>
            </w:r>
          </w:p>
        </w:tc>
        <w:tc>
          <w:tcPr/>
          <w:p>
            <w:pPr>
              <w:pStyle w:val="Compact"/>
              <w:jc w:val="left"/>
            </w:pPr>
            <w:r>
              <w:t xml:space="preserve">30 May 2025</w:t>
            </w:r>
          </w:p>
        </w:tc>
        <w:tc>
          <w:tcPr/>
          <w:p>
            <w:pPr>
              <w:pStyle w:val="Compact"/>
              <w:jc w:val="left"/>
            </w:pPr>
            <w:r>
              <w:t xml:space="preserve">4.0</w:t>
            </w:r>
          </w:p>
        </w:tc>
        <w:tc>
          <w:tcPr/>
          <w:p>
            <w:pPr>
              <w:pStyle w:val="Compact"/>
              <w:jc w:val="left"/>
            </w:pPr>
            <w:r>
              <w:t xml:space="preserve">250.00</w:t>
            </w:r>
          </w:p>
        </w:tc>
        <w:tc>
          <w:tcPr/>
          <w:p>
            <w:pPr>
              <w:pStyle w:val="Compact"/>
              <w:jc w:val="left"/>
            </w:pPr>
            <w:r>
              <w:t xml:space="preserve">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10,450.00 EUR</w:t>
            </w:r>
          </w:p>
        </w:tc>
      </w:tr>
      <w:tr>
        <w:tc>
          <w:tcPr/>
          <w:p>
            <w:pPr>
              <w:pStyle w:val="Compact"/>
              <w:jc w:val="left"/>
            </w:pPr>
            <w:r>
              <w:t xml:space="preserve">VAT (19% – Germany)</w:t>
            </w:r>
          </w:p>
        </w:tc>
        <w:tc>
          <w:tcPr/>
          <w:p>
            <w:pPr>
              <w:pStyle w:val="Compact"/>
              <w:jc w:val="left"/>
            </w:pPr>
            <w:r>
              <w:t xml:space="preserve">1,985.50 EUR</w:t>
            </w:r>
          </w:p>
        </w:tc>
      </w:tr>
      <w:tr>
        <w:tc>
          <w:tcPr/>
          <w:p>
            <w:pPr>
              <w:pStyle w:val="Compact"/>
              <w:jc w:val="left"/>
            </w:pPr>
            <w:r>
              <w:t xml:space="preserve">Total Due</w:t>
            </w:r>
          </w:p>
        </w:tc>
        <w:tc>
          <w:tcPr/>
          <w:p>
            <w:pPr>
              <w:pStyle w:val="Compact"/>
              <w:jc w:val="left"/>
            </w:pPr>
            <w:r>
              <w:t xml:space="preserve">12,435.50 EUR</w:t>
            </w:r>
          </w:p>
        </w:tc>
      </w:tr>
    </w:tbl>
    <w:bookmarkStart w:id="24" w:name="payment-terms-and-notes"/>
    <w:p>
      <w:pPr>
        <w:pStyle w:val="Heading3"/>
      </w:pPr>
      <w:r>
        <w:t xml:space="preserve">Payment Terms and Notes</w:t>
      </w:r>
    </w:p>
    <w:p>
      <w:pPr>
        <w:pStyle w:val="FirstParagraph"/>
      </w:pPr>
      <w:r>
        <w:t xml:space="preserve">This Invoice is issued in accordance with the German Commercial Code (Handelsgesetzbuch, HGB) and the applicable provisions of the German Tax Code (Abgabenordnung, AO). The total amount of</w:t>
      </w:r>
      <w:r>
        <w:t xml:space="preserve"> </w:t>
      </w:r>
      <w:r>
        <w:rPr>
          <w:bCs/>
          <w:b/>
        </w:rPr>
        <w:t xml:space="preserve">12,435.50 EUR</w:t>
      </w:r>
      <w:r>
        <w:t xml:space="preserve"> </w:t>
      </w:r>
      <w:r>
        <w:t xml:space="preserve">is due within thirty (30) calendar days from the issue date, no later than</w:t>
      </w:r>
      <w:r>
        <w:t xml:space="preserve"> </w:t>
      </w:r>
      <w:r>
        <w:rPr>
          <w:bCs/>
          <w:b/>
        </w:rPr>
        <w:t xml:space="preserve">14 July 2025</w:t>
      </w:r>
      <w:r>
        <w:t xml:space="preserve">.</w:t>
      </w:r>
    </w:p>
    <w:p>
      <w:pPr>
        <w:numPr>
          <w:ilvl w:val="0"/>
          <w:numId w:val="1001"/>
        </w:numPr>
        <w:pStyle w:val="Compact"/>
      </w:pPr>
      <w:r>
        <w:rPr>
          <w:bCs/>
          <w:b/>
        </w:rPr>
        <w:t xml:space="preserve">Payment Method:</w:t>
      </w:r>
      <w:r>
        <w:t xml:space="preserve"> </w:t>
      </w:r>
      <w:r>
        <w:t xml:space="preserve">Bank transfer (SEPA) to Economist Advisory Group GmbH, IBAN: DE89 3704 0044 0532 0130 00, BIC: COBADEFFXXX, Bank: Commerzbank AG, Berlin Branch.</w:t>
      </w:r>
    </w:p>
    <w:p>
      <w:pPr>
        <w:numPr>
          <w:ilvl w:val="0"/>
          <w:numId w:val="1001"/>
        </w:numPr>
        <w:pStyle w:val="Compact"/>
      </w:pPr>
      <w:r>
        <w:rPr>
          <w:bCs/>
          <w:b/>
        </w:rPr>
        <w:t xml:space="preserve">Reference:</w:t>
      </w:r>
      <w:r>
        <w:t xml:space="preserve"> </w:t>
      </w:r>
      <w:r>
        <w:t xml:space="preserve">Please cite Invoice number EA-2025-04871 and client reference MCP-EC-2025-09 in all payment communications.</w:t>
      </w:r>
    </w:p>
    <w:p>
      <w:pPr>
        <w:numPr>
          <w:ilvl w:val="0"/>
          <w:numId w:val="1001"/>
        </w:numPr>
        <w:pStyle w:val="Compact"/>
      </w:pPr>
      <w:r>
        <w:rPr>
          <w:bCs/>
          <w:b/>
        </w:rPr>
        <w:t xml:space="preserve">Late Payment:</w:t>
      </w:r>
      <w:r>
        <w:t xml:space="preserve"> </w:t>
      </w:r>
      <w:r>
        <w:t xml:space="preserve">In accordance with Section 288 of the German Civil Code (BGB), a default interest of 8 percentage points above the European Central Bank base rate applies to overdue amounts. Additionally, a flat fee of 40.00 EUR per reminder notice may be charged.</w:t>
      </w:r>
    </w:p>
    <w:p>
      <w:pPr>
        <w:numPr>
          <w:ilvl w:val="0"/>
          <w:numId w:val="1001"/>
        </w:numPr>
        <w:pStyle w:val="Compact"/>
      </w:pPr>
      <w:r>
        <w:rPr>
          <w:bCs/>
          <w:b/>
        </w:rPr>
        <w:t xml:space="preserve">Disputes:</w:t>
      </w:r>
      <w:r>
        <w:t xml:space="preserve"> </w:t>
      </w:r>
      <w:r>
        <w:t xml:space="preserve">Any disputes regarding this Invoice or the services rendered shall be governed by the laws of the Federal Republic of Germany. The exclusive jurisdiction for all legal matters is the competent court in Berlin, Germany.</w:t>
      </w:r>
    </w:p>
    <w:p>
      <w:pPr>
        <w:numPr>
          <w:ilvl w:val="0"/>
          <w:numId w:val="1001"/>
        </w:numPr>
        <w:pStyle w:val="Compact"/>
      </w:pPr>
      <w:r>
        <w:rPr>
          <w:bCs/>
          <w:b/>
        </w:rPr>
        <w:t xml:space="preserve">Retainage:</w:t>
      </w:r>
      <w:r>
        <w:t xml:space="preserve"> </w:t>
      </w:r>
      <w:r>
        <w:t xml:space="preserve">This Invoice constitutes the final and complete billing for all economic consulting services provided by the Economist Advisory Group during the stated service period. No further charges will be incurred for the May 2025 engagement.</w:t>
      </w:r>
    </w:p>
    <w:p>
      <w:pPr>
        <w:pStyle w:val="FirstParagraph"/>
      </w:pPr>
      <w:r>
        <w:t xml:space="preserve">All economic analyses, forecasts, and reports referenced in this Invoice were prepared by qualified Economists holding doctoral degrees in economics or related fields. The findings and recommendations contained therein represent professional economic judgment and do not constitute financial, legal, or tax advice. The client acknowledges that economic forecasts are inherently subject to uncertainty and that actual outcomes may differ materially from projections.</w:t>
      </w:r>
    </w:p>
    <w:p>
      <w:pPr>
        <w:pStyle w:val="BodyText"/>
      </w:pPr>
      <w:r>
        <w:t xml:space="preserve">This Invoice is valid for a period of ten (10) years from the date of issue, in compliance with Section 147 of the German Tax Code (Abgabenordnung). Please retain this document for your corporate tax records and annual financial reporting in Germany.</w:t>
      </w:r>
    </w:p>
    <w:bookmarkEnd w:id="24"/>
    <w:p>
      <w:pPr>
        <w:pStyle w:val="BodyText"/>
      </w:pPr>
      <w:r>
        <w:rPr>
          <w:bCs/>
          <w:b/>
        </w:rPr>
        <w:t xml:space="preserve">Economist Advisory Group GmbH</w:t>
      </w:r>
      <w:r>
        <w:t xml:space="preserve"> </w:t>
      </w:r>
      <w:r>
        <w:t xml:space="preserve">– Professional Economic Consulting in Berlin, Germany</w:t>
      </w:r>
    </w:p>
    <w:p>
      <w:pPr>
        <w:pStyle w:val="BodyText"/>
      </w:pPr>
      <w:r>
        <w:t xml:space="preserve">Managing Director: Dr. Helena Marchetti | Registered Office: Unter den Linden 85, 10117 Berlin, Germany</w:t>
      </w:r>
    </w:p>
    <w:p>
      <w:pPr>
        <w:pStyle w:val="BodyText"/>
      </w:pPr>
      <w:r>
        <w:t xml:space="preserve">HRB 123456 B, Amtsgericht Charlottenburg | VAT ID: DE 312 456 789 | Tax Number: 030/123/45678</w:t>
      </w:r>
    </w:p>
    <w:p>
      <w:pPr>
        <w:pStyle w:val="BodyText"/>
      </w:pPr>
      <w:r>
        <w:t xml:space="preserve">Thank you for engaging our Economist team. We look forward to continuing our professional partnership in Berlin and across Germany.</w:t>
      </w:r>
    </w:p>
    <w:p>
      <w:pPr>
        <w:pStyle w:val="BodyText"/>
      </w:pPr>
      <w:r>
        <w:t xml:space="preserve">This is a computer-generated Invoice and does not require a physical signature. It is legally binding upon issuance.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Consulting Services - Berlin, Germany</dc:title>
  <dc:creator/>
  <dc:language>en</dc:language>
  <cp:keywords/>
  <dcterms:created xsi:type="dcterms:W3CDTF">2026-10-10T08:34:41Z</dcterms:created>
  <dcterms:modified xsi:type="dcterms:W3CDTF">2026-10-10T08:34:41Z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