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dr.-heinrich-vogel-associates"/>
    <w:p>
      <w:pPr>
        <w:pStyle w:val="Heading1"/>
      </w:pPr>
      <w:r>
        <w:t xml:space="preserve">Dr. Heinrich Vogel &amp; Associates</w:t>
      </w:r>
    </w:p>
    <w:p>
      <w:pPr>
        <w:pStyle w:val="FirstParagraph"/>
      </w:pPr>
      <w:r>
        <w:t xml:space="preserve">Economist Consulting &amp; Economic Advisory Services</w:t>
      </w:r>
    </w:p>
    <w:p>
      <w:pPr>
        <w:pStyle w:val="BodyText"/>
      </w:pPr>
      <w:r>
        <w:t xml:space="preserve">Wilhelmstraße 142, 60323 Frankfurt am Main, Germany</w:t>
      </w:r>
    </w:p>
    <w:p>
      <w:pPr>
        <w:pStyle w:val="BodyText"/>
      </w:pPr>
      <w:r>
        <w:t xml:space="preserve">Phone: +49 (0)69 8877 4455</w:t>
      </w:r>
    </w:p>
    <w:p>
      <w:pPr>
        <w:pStyle w:val="BodyText"/>
      </w:pPr>
      <w:r>
        <w:t xml:space="preserve">Email: invoices@vogel-economist.de</w:t>
      </w:r>
    </w:p>
    <w:p>
      <w:pPr>
        <w:pStyle w:val="BodyText"/>
      </w:pPr>
      <w:r>
        <w:t xml:space="preserve">USt-IdNr. (VAT ID):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INV-2025-FRA-00847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Meridian Capital Partners GmbH</w:t>
      </w:r>
    </w:p>
    <w:p>
      <w:pPr>
        <w:pStyle w:val="BodyText"/>
      </w:pPr>
      <w:r>
        <w:t xml:space="preserve">Attn: Dr. Sabine Krüger, Chief Financial Officer</w:t>
      </w:r>
    </w:p>
    <w:p>
      <w:pPr>
        <w:pStyle w:val="BodyText"/>
      </w:pPr>
      <w:r>
        <w:t xml:space="preserve">Bankenviertel, Taunusanlage 18</w:t>
      </w:r>
    </w:p>
    <w:p>
      <w:pPr>
        <w:pStyle w:val="BodyText"/>
      </w:pPr>
      <w:r>
        <w:t xml:space="preserve">60310 Frankfurt am Main, Germany</w:t>
      </w:r>
    </w:p>
    <w:p>
      <w:pPr>
        <w:pStyle w:val="BodyText"/>
      </w:pPr>
      <w:r>
        <w:t xml:space="preserve">Phone: +49 (0)69 5511 2200</w:t>
      </w:r>
    </w:p>
    <w:p>
      <w:pPr>
        <w:pStyle w:val="BodyText"/>
      </w:pPr>
      <w:r>
        <w:t xml:space="preserve">Email: s.krueger@meridian-capital.de</w:t>
      </w:r>
    </w:p>
    <w:p>
      <w:pPr>
        <w:pStyle w:val="BodyText"/>
      </w:pPr>
      <w:r>
        <w:t xml:space="preserve">USt-IdNr.: DE 298 765 431</w:t>
      </w:r>
    </w:p>
    <w:bookmarkEnd w:id="22"/>
    <w:bookmarkStart w:id="23" w:name="prepared-by"/>
    <w:p>
      <w:pPr>
        <w:pStyle w:val="Heading3"/>
      </w:pPr>
      <w:r>
        <w:t xml:space="preserve">Prepared By</w:t>
      </w:r>
    </w:p>
    <w:p>
      <w:pPr>
        <w:pStyle w:val="FirstParagraph"/>
      </w:pPr>
      <w:r>
        <w:rPr>
          <w:bCs/>
          <w:b/>
        </w:rPr>
        <w:t xml:space="preserve">Dr. Heinrich Vogel, PhD (Economics)</w:t>
      </w:r>
    </w:p>
    <w:p>
      <w:pPr>
        <w:pStyle w:val="BodyText"/>
      </w:pPr>
      <w:r>
        <w:t xml:space="preserve">Lead Economist &amp; Principal Consultant</w:t>
      </w:r>
    </w:p>
    <w:p>
      <w:pPr>
        <w:pStyle w:val="BodyText"/>
      </w:pPr>
      <w:r>
        <w:t xml:space="preserve">Specialization: Macroeconomic Analysis, EU Trade Policy, Monetary Economics</w:t>
      </w:r>
    </w:p>
    <w:p>
      <w:pPr>
        <w:pStyle w:val="BodyText"/>
      </w:pPr>
      <w:r>
        <w:t xml:space="preserve">Member: German Economic Society (Volkswirtschaftlicher Verein)</w:t>
      </w:r>
    </w:p>
    <w:p>
      <w:pPr>
        <w:pStyle w:val="BodyText"/>
      </w:pPr>
      <w:r>
        <w:t xml:space="preserve">Licensed Economist, Federal Republic of Germany</w:t>
      </w:r>
    </w:p>
    <w:p>
      <w:pPr>
        <w:pStyle w:val="BodyText"/>
      </w:pPr>
      <w:r>
        <w:t xml:space="preserve">Ref. No.: EC-FRA-2025-0312</w:t>
      </w:r>
    </w:p>
    <w:bookmarkEnd w:id="23"/>
    <w:bookmarkStart w:id="24" w:name="X0c8e8e8d222880abdfceac1ab14790bc81e4706"/>
    <w:p>
      <w:pPr>
        <w:pStyle w:val="Heading3"/>
      </w:pPr>
      <w:r>
        <w:t xml:space="preserve">Description of Economist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Macroeconomic outlook analysis for the Frankfurt financial district, including Q2 2025 GDP projections, inflation trajectory assessment, and ECB monetary policy impact evaluation for the Eurozone economy.</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19%</w:t>
            </w:r>
          </w:p>
        </w:tc>
      </w:tr>
      <w:tr>
        <w:tc>
          <w:tcPr/>
          <w:p>
            <w:pPr>
              <w:pStyle w:val="Compact"/>
              <w:jc w:val="left"/>
            </w:pPr>
            <w:r>
              <w:t xml:space="preserve">02</w:t>
            </w:r>
          </w:p>
        </w:tc>
        <w:tc>
          <w:tcPr/>
          <w:p>
            <w:pPr>
              <w:pStyle w:val="Compact"/>
              <w:jc w:val="left"/>
            </w:pPr>
            <w:r>
              <w:t xml:space="preserve">Preparation of a comprehensive economic risk assessment report for Meridian Capital Partners, covering sovereign debt sustainability in the EU, trade policy shifts, and geopolitical economic factors affecting Frankfurt-based investment portfolios.</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19%</w:t>
            </w:r>
          </w:p>
        </w:tc>
      </w:tr>
      <w:tr>
        <w:tc>
          <w:tcPr/>
          <w:p>
            <w:pPr>
              <w:pStyle w:val="Compact"/>
              <w:jc w:val="left"/>
            </w:pPr>
            <w:r>
              <w:t xml:space="preserve">03</w:t>
            </w:r>
          </w:p>
        </w:tc>
        <w:tc>
          <w:tcPr/>
          <w:p>
            <w:pPr>
              <w:pStyle w:val="Compact"/>
              <w:jc w:val="left"/>
            </w:pPr>
            <w:r>
              <w:t xml:space="preserve">On-site advisory session at the client’s Frankfurt headquarters: presentation of economic modelling results, scenario planning workshops, and strategic recommendations for the second half of 2025 fiscal year.</w:t>
            </w:r>
          </w:p>
        </w:tc>
        <w:tc>
          <w:tcPr/>
          <w:p>
            <w:pPr>
              <w:pStyle w:val="Compact"/>
              <w:jc w:val="left"/>
            </w:pPr>
            <w:r>
              <w:t xml:space="preserve">8 hrs</w:t>
            </w:r>
          </w:p>
        </w:tc>
        <w:tc>
          <w:tcPr/>
          <w:p>
            <w:pPr>
              <w:pStyle w:val="Compact"/>
              <w:jc w:val="left"/>
            </w:pPr>
            <w:r>
              <w:t xml:space="preserve">€210.00</w:t>
            </w:r>
          </w:p>
        </w:tc>
        <w:tc>
          <w:tcPr/>
          <w:p>
            <w:pPr>
              <w:pStyle w:val="Compact"/>
              <w:jc w:val="left"/>
            </w:pPr>
            <w:r>
              <w:t xml:space="preserve">€1,680.00</w:t>
            </w:r>
          </w:p>
        </w:tc>
        <w:tc>
          <w:tcPr/>
          <w:p>
            <w:pPr>
              <w:pStyle w:val="Compact"/>
              <w:jc w:val="left"/>
            </w:pPr>
            <w:r>
              <w:t xml:space="preserve">19%</w:t>
            </w:r>
          </w:p>
        </w:tc>
      </w:tr>
      <w:tr>
        <w:tc>
          <w:tcPr/>
          <w:p>
            <w:pPr>
              <w:pStyle w:val="Compact"/>
              <w:jc w:val="left"/>
            </w:pPr>
            <w:r>
              <w:t xml:space="preserve">04</w:t>
            </w:r>
          </w:p>
        </w:tc>
        <w:tc>
          <w:tcPr/>
          <w:p>
            <w:pPr>
              <w:pStyle w:val="Compact"/>
              <w:jc w:val="left"/>
            </w:pPr>
            <w:r>
              <w:t xml:space="preserve">Publication of a proprietary Economist market commentary and quarterly economic briefing tailored to the Frankfurt financial sector, distributed to the client’s executive board and investment committee members.</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19%</w:t>
            </w:r>
          </w:p>
        </w:tc>
      </w:tr>
      <w:tr>
        <w:tc>
          <w:tcPr/>
          <w:p>
            <w:pPr>
              <w:pStyle w:val="Compact"/>
              <w:jc w:val="left"/>
            </w:pPr>
            <w:r>
              <w:t xml:space="preserve">05</w:t>
            </w:r>
          </w:p>
        </w:tc>
        <w:tc>
          <w:tcPr/>
          <w:p>
            <w:pPr>
              <w:pStyle w:val="Compact"/>
              <w:jc w:val="left"/>
            </w:pPr>
            <w:r>
              <w:t xml:space="preserve">Regulatory economic impact analysis: assessment of the new EU Banking Union directives and their projected effects on Frankfurt’s status as a European financial hub, including cost-benefit modelling for the client’s operational footprint.</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c>
          <w:tcPr/>
          <w:p>
            <w:pPr>
              <w:pStyle w:val="Compact"/>
              <w:jc w:val="left"/>
            </w:pPr>
            <w:r>
              <w:t xml:space="preserve">19%</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€17,500.00</w:t>
            </w:r>
          </w:p>
        </w:tc>
      </w:tr>
      <w:tr>
        <w:tc>
          <w:tcPr/>
          <w:p>
            <w:pPr>
              <w:pStyle w:val="Compact"/>
              <w:jc w:val="left"/>
            </w:pPr>
            <w:r>
              <w:t xml:space="preserve">VAT (19% – German Standard Rate)</w:t>
            </w:r>
          </w:p>
        </w:tc>
        <w:tc>
          <w:tcPr/>
          <w:p>
            <w:pPr>
              <w:pStyle w:val="Compact"/>
              <w:jc w:val="right"/>
            </w:pPr>
            <w:r>
              <w:t xml:space="preserve">€3,325.00</w:t>
            </w:r>
          </w:p>
        </w:tc>
      </w:tr>
      <w:tr>
        <w:tc>
          <w:tcPr/>
          <w:p>
            <w:pPr>
              <w:pStyle w:val="Compact"/>
              <w:jc w:val="left"/>
            </w:pPr>
            <w:r>
              <w:t xml:space="preserve">Total Amount Due (Gross)</w:t>
            </w:r>
          </w:p>
        </w:tc>
        <w:tc>
          <w:tcPr/>
          <w:p>
            <w:pPr>
              <w:pStyle w:val="Compact"/>
              <w:jc w:val="right"/>
            </w:pPr>
            <w:r>
              <w:t xml:space="preserve">€20,825.00</w:t>
            </w:r>
          </w:p>
        </w:tc>
      </w:tr>
    </w:tbl>
    <w:bookmarkStart w:id="25" w:name="payment-instructions-germany-frankfurt"/>
    <w:p>
      <w:pPr>
        <w:pStyle w:val="Heading3"/>
      </w:pPr>
      <w:r>
        <w:t xml:space="preserve">Payment Instructions – Germany Frankfurt</w:t>
      </w:r>
    </w:p>
    <w:p>
      <w:pPr>
        <w:pStyle w:val="FirstParagraph"/>
      </w:pPr>
      <w:r>
        <w:rPr>
          <w:bCs/>
          <w:b/>
        </w:rPr>
        <w:t xml:space="preserve">Bank:</w:t>
      </w:r>
      <w:r>
        <w:t xml:space="preserve"> </w:t>
      </w:r>
      <w:r>
        <w:t xml:space="preserve">Deutsche Bank AG, Frankfurt am Main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DEUTDEFF</w:t>
      </w:r>
    </w:p>
    <w:p>
      <w:pPr>
        <w:pStyle w:val="BodyText"/>
      </w:pPr>
      <w:r>
        <w:rPr>
          <w:bCs/>
          <w:b/>
        </w:rPr>
        <w:t xml:space="preserve">Account Holder:</w:t>
      </w:r>
      <w:r>
        <w:t xml:space="preserve"> </w:t>
      </w:r>
      <w:r>
        <w:t xml:space="preserve">Dr. Heinrich Vogel &amp; Associates, Frankfurt am Main</w:t>
      </w:r>
    </w:p>
    <w:p>
      <w:pPr>
        <w:pStyle w:val="BodyText"/>
      </w:pPr>
      <w:r>
        <w:rPr>
          <w:bCs/>
          <w:b/>
        </w:rPr>
        <w:t xml:space="preserve">Reference:</w:t>
      </w:r>
      <w:r>
        <w:t xml:space="preserve"> </w:t>
      </w:r>
      <w:r>
        <w:t xml:space="preserve">INV-2025-FRA-00847</w:t>
      </w:r>
    </w:p>
    <w:p>
      <w:pPr>
        <w:pStyle w:val="BodyText"/>
      </w:pPr>
      <w:r>
        <w:rPr>
          <w:bCs/>
          <w:b/>
        </w:rPr>
        <w:t xml:space="preserve">Payment Terms:</w:t>
      </w:r>
      <w:r>
        <w:t xml:space="preserve"> </w:t>
      </w:r>
      <w:r>
        <w:t xml:space="preserve">Net 30 days from the date of this invoice. Please ensure the reference number is included with your transfer. Late payments are subject to statutory interest under Section 288 of the German Civil Code (Bürgliches Gesetzbuch – BGB) at a rate of 8 percentage points above the ECB base rate for business-to-business transactions.</w:t>
      </w:r>
    </w:p>
    <w:bookmarkEnd w:id="25"/>
    <w:bookmarkStart w:id="26" w:name="important-notes-terms"/>
    <w:p>
      <w:pPr>
        <w:pStyle w:val="Heading3"/>
      </w:pPr>
      <w:r>
        <w:t xml:space="preserve">Important Notes &amp; Terms</w:t>
      </w:r>
    </w:p>
    <w:p>
      <w:pPr>
        <w:pStyle w:val="FirstParagraph"/>
      </w:pPr>
      <w:r>
        <w:t xml:space="preserve">1. This invoice is issued in accordance with the German Invoice Regulation (Rechnungsstellungspflichten) under Section 14 of the German VAT Act (Umsatzsteuergesetz – UStG) and complies with all requirements for a valid tax invoice (Rechnung) in the Federal Republic of Germany.</w:t>
      </w:r>
    </w:p>
    <w:p>
      <w:pPr>
        <w:pStyle w:val="BodyText"/>
      </w:pPr>
      <w:r>
        <w:t xml:space="preserve">2. All economic analyses, forecasts, and advisory opinions provided by the undersigned Economist are based on data available as of the service period indicated. Economic projections are inherently subject to uncertainty and do not constitute a guarantee of future market performance or economic outcomes.</w:t>
      </w:r>
    </w:p>
    <w:p>
      <w:pPr>
        <w:pStyle w:val="BodyText"/>
      </w:pPr>
      <w:r>
        <w:t xml:space="preserve">3. The services described herein were rendered by a licensed professional Economist operating under the regulatory framework of the State of Hesse, Germany. All methodologies employed conform to the standards set forth by the German Economic Society and the European Economic Association.</w:t>
      </w:r>
    </w:p>
    <w:p>
      <w:pPr>
        <w:pStyle w:val="BodyText"/>
      </w:pPr>
      <w:r>
        <w:t xml:space="preserve">4. This invoice is valid for payment within the Federal Republic of Germany. For cross-border payments, the client is advised to verify applicable withholding tax obligations under the relevant Double Taxation Agreement.</w:t>
      </w:r>
    </w:p>
    <w:p>
      <w:pPr>
        <w:pStyle w:val="BodyText"/>
      </w:pPr>
      <w:r>
        <w:t xml:space="preserve">5. In the event of any dispute regarding the services or the amounts stated on this invoice, the parties agree that the competent courts of Frankfurt am Main, Germany, shall have exclusive jurisdiction.</w:t>
      </w:r>
    </w:p>
    <w:p>
      <w:pPr>
        <w:pStyle w:val="BodyText"/>
      </w:pPr>
      <w:r>
        <w:t xml:space="preserve">6. The client acknowledges that all proprietary economic models, datasets, and analytical frameworks developed by the Economist during the engagement remain the intellectual property of Dr. Heinrich Vogel &amp; Associates unless otherwise agreed in writing.</w:t>
      </w:r>
    </w:p>
    <w:bookmarkEnd w:id="26"/>
    <w:p>
      <w:pPr>
        <w:pStyle w:val="BodyText"/>
      </w:pPr>
      <w:r>
        <w:t xml:space="preserve">This invoice has been issued electronically in compliance with the German Electronic Invoice Regulation (E-Rechnung) effective January 2025. The document conforms to the XRechnung / ZUGFeRD standard format. For questions regarding this invoice, please contact our billing department in Frankfurt am Main at billing@vogel-economist.de or by telephone at +49 (0)69 8877 4455, Monday through Friday, 08:00–17:00 CET.</w:t>
      </w:r>
    </w:p>
    <w:p>
      <w:pPr>
        <w:pStyle w:val="BodyText"/>
      </w:pPr>
      <w:r>
        <w:rPr>
          <w:bCs/>
          <w:b/>
        </w:rPr>
        <w:t xml:space="preserve">Dr. Heinrich Vogel &amp; Associates</w:t>
      </w:r>
      <w:r>
        <w:t xml:space="preserve"> </w:t>
      </w:r>
      <w:r>
        <w:t xml:space="preserve">— Economist Consulting &amp; Economic Advisory Services</w:t>
      </w:r>
    </w:p>
    <w:p>
      <w:pPr>
        <w:pStyle w:val="BodyText"/>
      </w:pPr>
      <w:r>
        <w:t xml:space="preserve">Wilhelmstraße 142, 60323 Frankfurt am Main, Germany • HRB 123456, Amtsgericht Frankfurt am Main</w:t>
      </w:r>
    </w:p>
    <w:p>
      <w:pPr>
        <w:pStyle w:val="BodyText"/>
      </w:pPr>
      <w:r>
        <w:t xml:space="preserve">USt-IdNr.: DE 312 456 789 • VAT Registration: Federal Republic of Germany</w:t>
      </w:r>
    </w:p>
    <w:p>
      <w:pPr>
        <w:pStyle w:val="BodyText"/>
      </w:pPr>
      <w:r>
        <w:t xml:space="preserve">Thank you for your business. We appreciate the opportunity to serve as your trusted Economist partner in Frankfurt, Germany.</w:t>
      </w:r>
    </w:p>
    <w:p>
      <w:pPr>
        <w:pStyle w:val="BodyText"/>
      </w:pPr>
      <w:r>
        <w:t xml:space="preserve">© 2025 Dr. Heinrich Vogel &amp; Associates. All rights reserved. This invoice is a legally binding document under German commercial law (Handelsgesetzbuch – HGB).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Frankfurt, Germany</dc:title>
  <dc:creator/>
  <dc:language>en</dc:language>
  <cp:keywords/>
  <dcterms:created xsi:type="dcterms:W3CDTF">2026-10-10T04:43:10Z</dcterms:created>
  <dcterms:modified xsi:type="dcterms:W3CDTF">2026-10-10T04:43:10Z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