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The</w:t>
      </w:r>
      <w:r>
        <w:t xml:space="preserve"> </w:t>
      </w:r>
      <w:r>
        <w:t xml:space="preserve">Economist</w:t>
      </w:r>
      <w:r>
        <w:t xml:space="preserve"> </w:t>
      </w:r>
      <w:r>
        <w:t xml:space="preserve">-</w:t>
      </w:r>
      <w:r>
        <w:t xml:space="preserve"> </w:t>
      </w:r>
      <w:r>
        <w:t xml:space="preserve">Indonesia</w:t>
      </w:r>
      <w:r>
        <w:t xml:space="preserve"> </w:t>
      </w:r>
      <w:r>
        <w:t xml:space="preserve">Jakarta</w:t>
      </w:r>
    </w:p>
    <w:p>
      <w:pPr>
        <w:pStyle w:val="FirstParagraph"/>
      </w:pPr>
      <w:r>
        <w:t xml:space="preserve">Invoice</w:t>
      </w:r>
    </w:p>
    <w:p>
      <w:pPr>
        <w:pStyle w:val="BodyText"/>
      </w:pPr>
      <w:r>
        <w:t xml:space="preserve">The Economist Group – Subscription &amp; Digital Access Division</w:t>
      </w:r>
    </w:p>
    <w:p>
      <w:pPr>
        <w:pStyle w:val="BodyText"/>
      </w:pPr>
      <w:r>
        <w:t xml:space="preserve">Official Invoice – Indonesia Jakarta Region</w:t>
      </w:r>
    </w:p>
    <w:p>
      <w:pPr>
        <w:pStyle w:val="BodyText"/>
      </w:pPr>
      <w:r>
        <w:rPr>
          <w:bCs/>
          <w:b/>
        </w:rPr>
        <w:t xml:space="preserve">Invoice No:</w:t>
      </w:r>
      <w:r>
        <w:t xml:space="preserve"> </w:t>
      </w:r>
      <w:r>
        <w:t xml:space="preserve">ECO-JKT-2025-04871</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IDR (Indonesian Rupiah)</w:t>
      </w:r>
    </w:p>
    <w:bookmarkStart w:id="20" w:name="billed-by-supplier"/>
    <w:p>
      <w:pPr>
        <w:pStyle w:val="Heading3"/>
      </w:pPr>
      <w:r>
        <w:t xml:space="preserve">Billed By (Supplier)</w:t>
      </w:r>
    </w:p>
    <w:p>
      <w:pPr>
        <w:pStyle w:val="FirstParagraph"/>
      </w:pPr>
      <w:r>
        <w:rPr>
          <w:bCs/>
          <w:b/>
        </w:rPr>
        <w:t xml:space="preserve">The Economist Group Ltd.</w:t>
      </w:r>
    </w:p>
    <w:p>
      <w:pPr>
        <w:pStyle w:val="BodyText"/>
      </w:pPr>
      <w:r>
        <w:t xml:space="preserve">25 St James's Street</w:t>
      </w:r>
    </w:p>
    <w:p>
      <w:pPr>
        <w:pStyle w:val="BodyText"/>
      </w:pPr>
      <w:r>
        <w:t xml:space="preserve">London SW1Y 4HU, United Kingdom</w:t>
      </w:r>
    </w:p>
    <w:p>
      <w:pPr>
        <w:pStyle w:val="BodyText"/>
      </w:pPr>
      <w:r>
        <w:t xml:space="preserve">VAT No: GB 987 6543 21</w:t>
      </w:r>
    </w:p>
    <w:p>
      <w:pPr>
        <w:pStyle w:val="BodyText"/>
      </w:pPr>
      <w:r>
        <w:t xml:space="preserve">Email: billing.asia@economist.com</w:t>
      </w:r>
    </w:p>
    <w:p>
      <w:pPr>
        <w:pStyle w:val="BodyText"/>
      </w:pPr>
      <w:r>
        <w:t xml:space="preserve">Tel: +44 20 7560 0000</w:t>
      </w:r>
    </w:p>
    <w:bookmarkEnd w:id="20"/>
    <w:bookmarkStart w:id="21" w:name="billed-to-client"/>
    <w:p>
      <w:pPr>
        <w:pStyle w:val="Heading3"/>
      </w:pPr>
      <w:r>
        <w:t xml:space="preserve">Billed To (Client)</w:t>
      </w:r>
    </w:p>
    <w:p>
      <w:pPr>
        <w:pStyle w:val="FirstParagraph"/>
      </w:pPr>
      <w:r>
        <w:rPr>
          <w:bCs/>
          <w:b/>
        </w:rPr>
        <w:t xml:space="preserve">PT Nusantara Economic Research Institute</w:t>
      </w:r>
    </w:p>
    <w:p>
      <w:pPr>
        <w:pStyle w:val="BodyText"/>
      </w:pPr>
      <w:r>
        <w:t xml:space="preserve">Jl. Jend. Sudirman Kav. 52-53</w:t>
      </w:r>
    </w:p>
    <w:p>
      <w:pPr>
        <w:pStyle w:val="BodyText"/>
      </w:pPr>
      <w:r>
        <w:t xml:space="preserve">Menara Astra, 25th Floor</w:t>
      </w:r>
    </w:p>
    <w:p>
      <w:pPr>
        <w:pStyle w:val="BodyText"/>
      </w:pPr>
      <w:r>
        <w:t xml:space="preserve">Jakarta Selatan 12190</w:t>
      </w:r>
    </w:p>
    <w:p>
      <w:pPr>
        <w:pStyle w:val="BodyText"/>
      </w:pPr>
      <w:r>
        <w:t xml:space="preserve">Indonesia Jakarta</w:t>
      </w:r>
    </w:p>
    <w:p>
      <w:pPr>
        <w:pStyle w:val="BodyText"/>
      </w:pPr>
      <w:r>
        <w:t xml:space="preserve">NPWP: 01.234.567.8-011.000</w:t>
      </w:r>
    </w:p>
    <w:p>
      <w:pPr>
        <w:pStyle w:val="BodyText"/>
      </w:pPr>
      <w:r>
        <w:t xml:space="preserve">Contact: Dr. Sari Wulandari, Chief Economist</w:t>
      </w:r>
    </w:p>
    <w:p>
      <w:pPr>
        <w:pStyle w:val="BodyText"/>
      </w:pPr>
      <w:r>
        <w:t xml:space="preserve">Email: sari.wulandari@neri.co.id</w:t>
      </w:r>
    </w:p>
    <w:bookmarkEnd w:id="21"/>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(IDR)</w:t>
            </w:r>
          </w:p>
        </w:tc>
        <w:tc>
          <w:tcPr/>
          <w:p>
            <w:pPr>
              <w:pStyle w:val="Compact"/>
              <w:jc w:val="left"/>
            </w:pPr>
            <w:r>
              <w:t xml:space="preserve">Amount (IDR)</w:t>
            </w:r>
          </w:p>
        </w:tc>
        <w:tc>
          <w:tcPr/>
          <w:p>
            <w:pPr>
              <w:pStyle w:val="Compact"/>
              <w:jc w:val="left"/>
            </w:pPr>
            <w:r>
              <w:t xml:space="preserve">Tax (11% PPN)</w:t>
            </w:r>
          </w:p>
        </w:tc>
      </w:tr>
      <w:tr>
        <w:tc>
          <w:tcPr/>
          <w:p>
            <w:pPr>
              <w:pStyle w:val="Compact"/>
              <w:jc w:val="left"/>
            </w:pPr>
            <w:r>
              <w:t xml:space="preserve">01</w:t>
            </w:r>
          </w:p>
        </w:tc>
        <w:tc>
          <w:tcPr/>
          <w:p>
            <w:pPr>
              <w:pStyle w:val="Compact"/>
              <w:jc w:val="left"/>
            </w:pPr>
            <w:r>
              <w:t xml:space="preserve">The Economist – Annual Print Subscription (52 issues) delivered to Jakarta office, Indonesia Jakarta distribution centre</w:t>
            </w:r>
          </w:p>
        </w:tc>
        <w:tc>
          <w:tcPr/>
          <w:p>
            <w:pPr>
              <w:pStyle w:val="Compact"/>
              <w:jc w:val="left"/>
            </w:pPr>
            <w:r>
              <w:t xml:space="preserve">1</w:t>
            </w:r>
          </w:p>
        </w:tc>
        <w:tc>
          <w:tcPr/>
          <w:p>
            <w:pPr>
              <w:pStyle w:val="Compact"/>
              <w:jc w:val="left"/>
            </w:pPr>
            <w:r>
              <w:t xml:space="preserve">48,500,000</w:t>
            </w:r>
          </w:p>
        </w:tc>
        <w:tc>
          <w:tcPr/>
          <w:p>
            <w:pPr>
              <w:pStyle w:val="Compact"/>
              <w:jc w:val="left"/>
            </w:pPr>
            <w:r>
              <w:t xml:space="preserve">48,500,000</w:t>
            </w:r>
          </w:p>
        </w:tc>
        <w:tc>
          <w:tcPr/>
          <w:p>
            <w:pPr>
              <w:pStyle w:val="Compact"/>
              <w:jc w:val="left"/>
            </w:pPr>
            <w:r>
              <w:t xml:space="preserve">5,335,000</w:t>
            </w:r>
          </w:p>
        </w:tc>
      </w:tr>
      <w:tr>
        <w:tc>
          <w:tcPr/>
          <w:p>
            <w:pPr>
              <w:pStyle w:val="Compact"/>
              <w:jc w:val="left"/>
            </w:pPr>
            <w:r>
              <w:t xml:space="preserve">02</w:t>
            </w:r>
          </w:p>
        </w:tc>
        <w:tc>
          <w:tcPr/>
          <w:p>
            <w:pPr>
              <w:pStyle w:val="Compact"/>
              <w:jc w:val="left"/>
            </w:pPr>
            <w:r>
              <w:t xml:space="preserve">The Economist – Digital Access License (10 concurrent user seats) for Indonesia Jakarta research team, 12-month period</w:t>
            </w:r>
          </w:p>
        </w:tc>
        <w:tc>
          <w:tcPr/>
          <w:p>
            <w:pPr>
              <w:pStyle w:val="Compact"/>
              <w:jc w:val="left"/>
            </w:pPr>
            <w:r>
              <w:t xml:space="preserve">10</w:t>
            </w:r>
          </w:p>
        </w:tc>
        <w:tc>
          <w:tcPr/>
          <w:p>
            <w:pPr>
              <w:pStyle w:val="Compact"/>
              <w:jc w:val="left"/>
            </w:pPr>
            <w:r>
              <w:t xml:space="preserve">12,750,000</w:t>
            </w:r>
          </w:p>
        </w:tc>
        <w:tc>
          <w:tcPr/>
          <w:p>
            <w:pPr>
              <w:pStyle w:val="Compact"/>
              <w:jc w:val="left"/>
            </w:pPr>
            <w:r>
              <w:t xml:space="preserve">127,500,000</w:t>
            </w:r>
          </w:p>
        </w:tc>
        <w:tc>
          <w:tcPr/>
          <w:p>
            <w:pPr>
              <w:pStyle w:val="Compact"/>
              <w:jc w:val="left"/>
            </w:pPr>
            <w:r>
              <w:t xml:space="preserve">14,025,000</w:t>
            </w:r>
          </w:p>
        </w:tc>
      </w:tr>
      <w:tr>
        <w:tc>
          <w:tcPr/>
          <w:p>
            <w:pPr>
              <w:pStyle w:val="Compact"/>
              <w:jc w:val="left"/>
            </w:pPr>
            <w:r>
              <w:t xml:space="preserve">03</w:t>
            </w:r>
          </w:p>
        </w:tc>
        <w:tc>
          <w:tcPr/>
          <w:p>
            <w:pPr>
              <w:pStyle w:val="Compact"/>
              <w:jc w:val="left"/>
            </w:pPr>
            <w:r>
              <w:t xml:space="preserve">The Economist – Quarterly Economic Data Pack (Indonesia &amp; ASEAN macroeconomic indicators, GDP projections, trade flow analysis)</w:t>
            </w:r>
          </w:p>
        </w:tc>
        <w:tc>
          <w:tcPr/>
          <w:p>
            <w:pPr>
              <w:pStyle w:val="Compact"/>
              <w:jc w:val="left"/>
            </w:pPr>
            <w:r>
              <w:t xml:space="preserve">4</w:t>
            </w:r>
          </w:p>
        </w:tc>
        <w:tc>
          <w:tcPr/>
          <w:p>
            <w:pPr>
              <w:pStyle w:val="Compact"/>
              <w:jc w:val="left"/>
            </w:pPr>
            <w:r>
              <w:t xml:space="preserve">8,200,000</w:t>
            </w:r>
          </w:p>
        </w:tc>
        <w:tc>
          <w:tcPr/>
          <w:p>
            <w:pPr>
              <w:pStyle w:val="Compact"/>
              <w:jc w:val="left"/>
            </w:pPr>
            <w:r>
              <w:t xml:space="preserve">32,800,000</w:t>
            </w:r>
          </w:p>
        </w:tc>
        <w:tc>
          <w:tcPr/>
          <w:p>
            <w:pPr>
              <w:pStyle w:val="Compact"/>
              <w:jc w:val="left"/>
            </w:pPr>
            <w:r>
              <w:t xml:space="preserve">3,608,000</w:t>
            </w:r>
          </w:p>
        </w:tc>
      </w:tr>
      <w:tr>
        <w:tc>
          <w:tcPr/>
          <w:p>
            <w:pPr>
              <w:pStyle w:val="Compact"/>
              <w:jc w:val="left"/>
            </w:pPr>
            <w:r>
              <w:t xml:space="preserve">04</w:t>
            </w:r>
          </w:p>
        </w:tc>
        <w:tc>
          <w:tcPr/>
          <w:p>
            <w:pPr>
              <w:pStyle w:val="Compact"/>
              <w:jc w:val="left"/>
            </w:pPr>
            <w:r>
              <w:t xml:space="preserve">The Economist – Custom Research Briefing: "Indonesia Jakarta Metropolitan Economic Outlook 2025–2026" prepared by senior Economist analysts</w:t>
            </w:r>
          </w:p>
        </w:tc>
        <w:tc>
          <w:tcPr/>
          <w:p>
            <w:pPr>
              <w:pStyle w:val="Compact"/>
              <w:jc w:val="left"/>
            </w:pPr>
            <w:r>
              <w:t xml:space="preserve">1</w:t>
            </w:r>
          </w:p>
        </w:tc>
        <w:tc>
          <w:tcPr/>
          <w:p>
            <w:pPr>
              <w:pStyle w:val="Compact"/>
              <w:jc w:val="left"/>
            </w:pPr>
            <w:r>
              <w:t xml:space="preserve">25,000,000</w:t>
            </w:r>
          </w:p>
        </w:tc>
        <w:tc>
          <w:tcPr/>
          <w:p>
            <w:pPr>
              <w:pStyle w:val="Compact"/>
              <w:jc w:val="left"/>
            </w:pPr>
            <w:r>
              <w:t xml:space="preserve">25,000,000</w:t>
            </w:r>
          </w:p>
        </w:tc>
        <w:tc>
          <w:tcPr/>
          <w:p>
            <w:pPr>
              <w:pStyle w:val="Compact"/>
              <w:jc w:val="left"/>
            </w:pPr>
            <w:r>
              <w:t xml:space="preserve">2,750,000</w:t>
            </w:r>
          </w:p>
        </w:tc>
      </w:tr>
      <w:tr>
        <w:tc>
          <w:tcPr/>
          <w:p>
            <w:pPr>
              <w:pStyle w:val="Compact"/>
              <w:jc w:val="left"/>
            </w:pPr>
            <w:r>
              <w:t xml:space="preserve">05</w:t>
            </w:r>
          </w:p>
        </w:tc>
        <w:tc>
          <w:tcPr/>
          <w:p>
            <w:pPr>
              <w:pStyle w:val="Compact"/>
              <w:jc w:val="left"/>
            </w:pPr>
            <w:r>
              <w:t xml:space="preserve">The Economist – Annual Subscription to The Economist Intelligence Unit (EIU) Country Risk Report: Indonesia Jakarta edition, including quarterly updates</w:t>
            </w:r>
          </w:p>
        </w:tc>
        <w:tc>
          <w:tcPr/>
          <w:p>
            <w:pPr>
              <w:pStyle w:val="Compact"/>
              <w:jc w:val="left"/>
            </w:pPr>
            <w:r>
              <w:t xml:space="preserve">1</w:t>
            </w:r>
          </w:p>
        </w:tc>
        <w:tc>
          <w:tcPr/>
          <w:p>
            <w:pPr>
              <w:pStyle w:val="Compact"/>
              <w:jc w:val="left"/>
            </w:pPr>
            <w:r>
              <w:t xml:space="preserve">18,900,000</w:t>
            </w:r>
          </w:p>
        </w:tc>
        <w:tc>
          <w:tcPr/>
          <w:p>
            <w:pPr>
              <w:pStyle w:val="Compact"/>
              <w:jc w:val="left"/>
            </w:pPr>
            <w:r>
              <w:t xml:space="preserve">18,900,000</w:t>
            </w:r>
          </w:p>
        </w:tc>
        <w:tc>
          <w:tcPr/>
          <w:p>
            <w:pPr>
              <w:pStyle w:val="Compact"/>
              <w:jc w:val="left"/>
            </w:pPr>
            <w:r>
              <w:t xml:space="preserve">2,079,000</w:t>
            </w:r>
          </w:p>
        </w:tc>
      </w:tr>
      <w:tr>
        <w:tc>
          <w:tcPr/>
          <w:p>
            <w:pPr>
              <w:pStyle w:val="Compact"/>
              <w:jc w:val="left"/>
            </w:pPr>
            <w:r>
              <w:t xml:space="preserve">06</w:t>
            </w:r>
          </w:p>
        </w:tc>
        <w:tc>
          <w:tcPr/>
          <w:p>
            <w:pPr>
              <w:pStyle w:val="Compact"/>
              <w:jc w:val="left"/>
            </w:pPr>
            <w:r>
              <w:t xml:space="preserve">The Economist – Priority Courier &amp; Customs Clearance Fee for international delivery to Indonesia Jakarta (Jl. Sudirman address)</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c>
          <w:tcPr/>
          <w:p>
            <w:pPr>
              <w:pStyle w:val="Compact"/>
              <w:jc w:val="left"/>
            </w:pPr>
            <w:r>
              <w:t xml:space="preserve">385,000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256,200,000</w:t>
            </w:r>
          </w:p>
        </w:tc>
      </w:tr>
      <w:tr>
        <w:tc>
          <w:tcPr/>
          <w:p>
            <w:pPr>
              <w:pStyle w:val="Compact"/>
              <w:jc w:val="left"/>
            </w:pPr>
            <w:r>
              <w:t xml:space="preserve">VAT / PPN (11%)</w:t>
            </w:r>
          </w:p>
        </w:tc>
        <w:tc>
          <w:tcPr/>
          <w:p>
            <w:pPr>
              <w:pStyle w:val="Compact"/>
              <w:jc w:val="right"/>
            </w:pPr>
            <w:r>
              <w:t xml:space="preserve">28,182,000</w:t>
            </w:r>
          </w:p>
        </w:tc>
      </w:tr>
      <w:tr>
        <w:tc>
          <w:tcPr/>
          <w:p>
            <w:pPr>
              <w:pStyle w:val="Compact"/>
              <w:jc w:val="left"/>
            </w:pPr>
            <w:r>
              <w:t xml:space="preserve">Withholding Tax (20% – Article 26 PPh)</w:t>
            </w:r>
          </w:p>
        </w:tc>
        <w:tc>
          <w:tcPr/>
          <w:p>
            <w:pPr>
              <w:pStyle w:val="Compact"/>
              <w:jc w:val="right"/>
            </w:pPr>
            <w:r>
              <w:t xml:space="preserve">(51,240,000)</w:t>
            </w:r>
          </w:p>
        </w:tc>
      </w:tr>
      <w:tr>
        <w:tc>
          <w:tcPr/>
          <w:p>
            <w:pPr>
              <w:pStyle w:val="Compact"/>
              <w:jc w:val="left"/>
            </w:pPr>
            <w:r>
              <w:t xml:space="preserve">Grand Total Due</w:t>
            </w:r>
          </w:p>
        </w:tc>
        <w:tc>
          <w:tcPr/>
          <w:p>
            <w:pPr>
              <w:pStyle w:val="Compact"/>
              <w:jc w:val="right"/>
            </w:pPr>
            <w:r>
              <w:t xml:space="preserve">233,142,000</w:t>
            </w:r>
          </w:p>
        </w:tc>
      </w:tr>
    </w:tbl>
    <w:p>
      <w:pPr>
        <w:pStyle w:val="BodyText"/>
      </w:pPr>
      <w:r>
        <w:rPr>
          <w:bCs/>
          <w:b/>
        </w:rPr>
        <w:t xml:space="preserve">Payment Instructions:</w:t>
      </w:r>
      <w:r>
        <w:t xml:space="preserve"> </w:t>
      </w:r>
      <w:r>
        <w:t xml:space="preserve">This Invoice must be settled via bank transfer to The Economist Group's designated account at Bank of America, London, or through the local payment gateway operated by PT Nusantara Financial Services in Indonesia Jakarta. Please reference Invoice number ECO-JKT-2025-04871 in all correspondence. Payment in Indonesian Rupiah (IDR) is accepted at the prevailing exchange rate on the date of settlement. Late payments beyond the 30 June 2025 due date will incur a penalty of 2% per month as stipulated under the subscription agreement.</w:t>
      </w:r>
    </w:p>
    <w:bookmarkStart w:id="22" w:name="X914c5d163b834fbcc1493be1a98ab51311344c8"/>
    <w:p>
      <w:pPr>
        <w:pStyle w:val="Heading3"/>
      </w:pPr>
      <w:r>
        <w:t xml:space="preserve">Terms &amp; Conditions – The Economist Subscription Agreement (Indonesia Jakarta)</w:t>
      </w:r>
    </w:p>
    <w:p>
      <w:pPr>
        <w:numPr>
          <w:ilvl w:val="0"/>
          <w:numId w:val="1001"/>
        </w:numPr>
        <w:pStyle w:val="Compact"/>
      </w:pPr>
      <w:r>
        <w:t xml:space="preserve">This Invoice constitutes a formal billing document under the Master Subscription Agreement dated 1 January 2025 between The Economist Group Ltd. and PT Nusantara Economic Research Institute, registered in Indonesia Jakarta.</w:t>
      </w:r>
    </w:p>
    <w:p>
      <w:pPr>
        <w:numPr>
          <w:ilvl w:val="0"/>
          <w:numId w:val="1001"/>
        </w:numPr>
        <w:pStyle w:val="Compact"/>
      </w:pPr>
      <w:r>
        <w:t xml:space="preserve">All digital access licenses for The Economist platform are non-transferable and restricted to the named Indonesia Jakarta office location unless a written amendment is executed by both parties.</w:t>
      </w:r>
    </w:p>
    <w:p>
      <w:pPr>
        <w:numPr>
          <w:ilvl w:val="0"/>
          <w:numId w:val="1001"/>
        </w:numPr>
        <w:pStyle w:val="Compact"/>
      </w:pPr>
      <w:r>
        <w:t xml:space="preserve">The Economist print editions delivered to Indonesia Jakarta are subject to Indonesian customs regulations. Any additional import duties levied by Bea Cukai (Indonesian Customs) beyond the amount stated in this Invoice shall be the responsibility of the client.</w:t>
      </w:r>
    </w:p>
    <w:p>
      <w:pPr>
        <w:numPr>
          <w:ilvl w:val="0"/>
          <w:numId w:val="1001"/>
        </w:numPr>
        <w:pStyle w:val="Compact"/>
      </w:pPr>
      <w:r>
        <w:t xml:space="preserve">Custom research briefings and EIU reports referenced in this Invoice are confidential and intended solely for the internal use of the subscribing economist team in Indonesia Jakarta. Redistribution, republication, or sharing of The Economist proprietary data without prior written consent is strictly prohibited.</w:t>
      </w:r>
    </w:p>
    <w:p>
      <w:pPr>
        <w:numPr>
          <w:ilvl w:val="0"/>
          <w:numId w:val="1001"/>
        </w:numPr>
        <w:pStyle w:val="Compact"/>
      </w:pPr>
      <w:r>
        <w:t xml:space="preserve">Cancellation or modification of any line item in this Invoice must be submitted in writing at least 30 days prior to the renewal date. Partial refunds will be calculated on a pro-rata basis.</w:t>
      </w:r>
    </w:p>
    <w:p>
      <w:pPr>
        <w:numPr>
          <w:ilvl w:val="0"/>
          <w:numId w:val="1001"/>
        </w:numPr>
        <w:pStyle w:val="Compact"/>
      </w:pPr>
      <w:r>
        <w:t xml:space="preserve">Governing law: This Invoice and the underlying subscription agreement shall be governed by the laws of England and Wales, with jurisdiction vested in the courts of London. However, for matters pertaining to local delivery, customs clearance, and tax compliance in Indonesia Jakarta, the parties shall cooperate in good faith under applicable Indonesian regulations.</w:t>
      </w:r>
    </w:p>
    <w:p>
      <w:pPr>
        <w:numPr>
          <w:ilvl w:val="0"/>
          <w:numId w:val="1001"/>
        </w:numPr>
        <w:pStyle w:val="Compact"/>
      </w:pPr>
      <w:r>
        <w:t xml:space="preserve">The Economist Group reserves the right to update subscription pricing, digital access terms, and data pack contents with 60 days' written notice. Any such changes will be reflected in subsequent Invoices issued to the Indonesia Jakarta office.</w:t>
      </w:r>
    </w:p>
    <w:bookmarkEnd w:id="22"/>
    <w:p>
      <w:pPr>
        <w:pStyle w:val="FirstParagraph"/>
      </w:pPr>
      <w:r>
        <w:rPr>
          <w:bCs/>
          <w:b/>
        </w:rPr>
        <w:t xml:space="preserve">The Economist Group Ltd.</w:t>
      </w:r>
      <w:r>
        <w:t xml:space="preserve"> </w:t>
      </w:r>
      <w:r>
        <w:t xml:space="preserve">| Registered in England &amp; Wales No. 00012345 | 25 St James's Street, London SW1Y 4HU</w:t>
      </w:r>
    </w:p>
    <w:p>
      <w:pPr>
        <w:pStyle w:val="BodyText"/>
      </w:pPr>
      <w:r>
        <w:t xml:space="preserve">This Invoice was generated electronically and is valid without a physical signature. For queries regarding this Invoice, contact the Asia-Pacific Billing Desk at billing.asia@economist.com or call +62 21 5099 8800 (Indonesia Jakarta local line).</w:t>
      </w:r>
    </w:p>
    <w:p>
      <w:pPr>
        <w:pStyle w:val="BodyText"/>
      </w:pPr>
      <w:r>
        <w:t xml:space="preserve">© 2025 The Economist Group. All rights reserved. Invoice ECO-JKT-2025-04871 – Indonesia Jakarta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The Economist - Indonesia Jakarta</dc:title>
  <dc:creator/>
  <dc:language>en</dc:language>
  <cp:keywords/>
  <dcterms:created xsi:type="dcterms:W3CDTF">2026-10-10T02:06:31Z</dcterms:created>
  <dcterms:modified xsi:type="dcterms:W3CDTF">2026-10-10T02:06:31Z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