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macroeconomic-advisory-consulting-ltd."/>
    <w:p>
      <w:pPr>
        <w:pStyle w:val="Heading1"/>
      </w:pPr>
      <w:r>
        <w:t xml:space="preserve">Macroeconomic Advisory &amp; Consulting Ltd.</w:t>
      </w:r>
    </w:p>
    <w:p>
      <w:pPr>
        <w:pStyle w:val="FirstParagraph"/>
      </w:pPr>
      <w:r>
        <w:t xml:space="preserve">24 Boulevard de la Paix, Cocody</w:t>
      </w:r>
    </w:p>
    <w:p>
      <w:pPr>
        <w:pStyle w:val="BodyText"/>
      </w:pPr>
      <w:r>
        <w:t xml:space="preserve">Abidjan, Ivory Coast</w:t>
      </w:r>
    </w:p>
    <w:p>
      <w:pPr>
        <w:pStyle w:val="BodyText"/>
      </w:pPr>
      <w:r>
        <w:t xml:space="preserve">Tel: +225 27 22 45 67 89</w:t>
      </w:r>
    </w:p>
    <w:p>
      <w:pPr>
        <w:pStyle w:val="BodyText"/>
      </w:pPr>
      <w:r>
        <w:t xml:space="preserve">Email: contact@macroadvisory-ci.com</w:t>
      </w:r>
    </w:p>
    <w:p>
      <w:pPr>
        <w:pStyle w:val="BodyText"/>
      </w:pPr>
      <w:r>
        <w:t xml:space="preserve">RC: CI-ABJ-2019-B-4521 | NIF: 12345678901</w:t>
      </w:r>
    </w:p>
    <w:bookmarkEnd w:id="20"/>
    <w:bookmarkStart w:id="21" w:name="invoice"/>
    <w:p>
      <w:pPr>
        <w:pStyle w:val="Heading2"/>
      </w:pPr>
      <w:r>
        <w:t xml:space="preserve">INVOICE</w:t>
      </w:r>
    </w:p>
    <w:p>
      <w:pPr>
        <w:pStyle w:val="FirstParagraph"/>
      </w:pPr>
      <w:r>
        <w:t xml:space="preserve">Official Document</w:t>
      </w:r>
    </w:p>
    <w:p>
      <w:pPr>
        <w:pStyle w:val="BodyText"/>
      </w:pPr>
      <w:r>
        <w:rPr>
          <w:bCs/>
          <w:b/>
        </w:rPr>
        <w:t xml:space="preserve">Invoice No:</w:t>
      </w:r>
      <w:r>
        <w:t xml:space="preserve"> </w:t>
      </w:r>
      <w:r>
        <w:t xml:space="preserve">INV-2025-EC-00847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Location:</w:t>
      </w:r>
      <w:r>
        <w:t xml:space="preserve"> </w:t>
      </w:r>
      <w:r>
        <w:t xml:space="preserve">Ivory Coast Abidjan</w:t>
      </w:r>
    </w:p>
    <w:bookmarkEnd w:id="21"/>
    <w:bookmarkStart w:id="22" w:name="from-service-provider"/>
    <w:p>
      <w:pPr>
        <w:pStyle w:val="Heading3"/>
      </w:pPr>
      <w:r>
        <w:t xml:space="preserve">From (Service Provider)</w:t>
      </w:r>
    </w:p>
    <w:p>
      <w:pPr>
        <w:pStyle w:val="FirstParagraph"/>
      </w:pPr>
      <w:r>
        <w:rPr>
          <w:bCs/>
          <w:b/>
        </w:rPr>
        <w:t xml:space="preserve">Macroeconomic Advisory &amp; Consulting Ltd.</w:t>
      </w:r>
    </w:p>
    <w:p>
      <w:pPr>
        <w:pStyle w:val="BodyText"/>
      </w:pPr>
      <w:r>
        <w:t xml:space="preserve">Lead Economist: Dr. Aya Kouassi-Mensah</w:t>
      </w:r>
    </w:p>
    <w:p>
      <w:pPr>
        <w:pStyle w:val="BodyText"/>
      </w:pPr>
      <w:r>
        <w:t xml:space="preserve">Senior Economist: Mr. Jean-Baptiste N'Guessan</w:t>
      </w:r>
    </w:p>
    <w:p>
      <w:pPr>
        <w:pStyle w:val="BodyText"/>
      </w:pPr>
      <w:r>
        <w:t xml:space="preserve">24 Boulevard de la Paix, Cocody</w:t>
      </w:r>
    </w:p>
    <w:p>
      <w:pPr>
        <w:pStyle w:val="BodyText"/>
      </w:pPr>
      <w:r>
        <w:t xml:space="preserve">Abidjan, Ivory Coast</w:t>
      </w:r>
    </w:p>
    <w:p>
      <w:pPr>
        <w:pStyle w:val="BodyText"/>
      </w:pPr>
      <w:r>
        <w:t xml:space="preserve">Professional License: ECO-IVC-2020-0342</w:t>
      </w:r>
    </w:p>
    <w:bookmarkEnd w:id="22"/>
    <w:bookmarkStart w:id="23" w:name="bill-to-client"/>
    <w:p>
      <w:pPr>
        <w:pStyle w:val="Heading3"/>
      </w:pPr>
      <w:r>
        <w:t xml:space="preserve">Bill To (Client)</w:t>
      </w:r>
    </w:p>
    <w:p>
      <w:pPr>
        <w:pStyle w:val="FirstParagraph"/>
      </w:pPr>
      <w:r>
        <w:rPr>
          <w:bCs/>
          <w:b/>
        </w:rPr>
        <w:t xml:space="preserve">Abidjan Port Authority &amp; Trade Development Corp.</w:t>
      </w:r>
    </w:p>
    <w:p>
      <w:pPr>
        <w:pStyle w:val="BodyText"/>
      </w:pPr>
      <w:r>
        <w:t xml:space="preserve">Attn: Mr. Koffi Adjoua, Chief Financial Officer</w:t>
      </w:r>
    </w:p>
    <w:p>
      <w:pPr>
        <w:pStyle w:val="BodyText"/>
      </w:pPr>
      <w:r>
        <w:t xml:space="preserve">15 Avenue de la République, Plateau</w:t>
      </w:r>
    </w:p>
    <w:p>
      <w:pPr>
        <w:pStyle w:val="BodyText"/>
      </w:pPr>
      <w:r>
        <w:t xml:space="preserve">Abidjan, Ivory Coast</w:t>
      </w:r>
    </w:p>
    <w:p>
      <w:pPr>
        <w:pStyle w:val="BodyText"/>
      </w:pPr>
      <w:r>
        <w:t xml:space="preserve">Client Reference: APATD-2025-0091</w:t>
      </w:r>
    </w:p>
    <w:p>
      <w:pPr>
        <w:pStyle w:val="BodyText"/>
      </w:pPr>
      <w:r>
        <w:t xml:space="preserve">Bank: Société Générale CI | IBAN: CI93 3000 6000 0123 4567 8901 234</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Economist Services</w:t>
            </w:r>
          </w:p>
        </w:tc>
        <w:tc>
          <w:tcPr/>
          <w:p>
            <w:pPr>
              <w:pStyle w:val="Compact"/>
              <w:jc w:val="left"/>
            </w:pPr>
            <w:r>
              <w:t xml:space="preserve">Period / Duration</w:t>
            </w:r>
          </w:p>
        </w:tc>
        <w:tc>
          <w:tcPr/>
          <w:p>
            <w:pPr>
              <w:pStyle w:val="Compact"/>
              <w:jc w:val="left"/>
            </w:pPr>
            <w:r>
              <w:t xml:space="preserve">Rate (XOF)</w:t>
            </w:r>
          </w:p>
        </w:tc>
        <w:tc>
          <w:tcPr/>
          <w:p>
            <w:pPr>
              <w:pStyle w:val="Compact"/>
              <w:jc w:val="left"/>
            </w:pPr>
            <w:r>
              <w:t xml:space="preserve">Quantity</w:t>
            </w:r>
          </w:p>
        </w:tc>
        <w:tc>
          <w:tcPr/>
          <w:p>
            <w:pPr>
              <w:pStyle w:val="Compact"/>
              <w:jc w:val="left"/>
            </w:pPr>
            <w:r>
              <w:t xml:space="preserve">Amount (XOF)</w:t>
            </w:r>
          </w:p>
        </w:tc>
      </w:tr>
      <w:tr>
        <w:tc>
          <w:tcPr/>
          <w:p>
            <w:pPr>
              <w:pStyle w:val="Compact"/>
              <w:jc w:val="left"/>
            </w:pPr>
            <w:r>
              <w:t xml:space="preserve">1</w:t>
            </w:r>
          </w:p>
        </w:tc>
        <w:tc>
          <w:tcPr/>
          <w:p>
            <w:pPr>
              <w:pStyle w:val="Compact"/>
              <w:jc w:val="left"/>
            </w:pPr>
            <w:r>
              <w:rPr>
                <w:bCs/>
                <w:b/>
              </w:rPr>
              <w:t xml:space="preserve">Senior Economist – Macroeconomic Forecasting &amp; Policy Analysis</w:t>
            </w:r>
            <w:r>
              <w:br/>
            </w:r>
            <w:r>
              <w:t xml:space="preserve">Comprehensive quarterly macroeconomic outlook for the Ivory Coast Abidjan metropolitan region, including GDP projections, inflation modeling, and fiscal policy recommendations for the port authority's strategic planning committee.</w:t>
            </w:r>
          </w:p>
        </w:tc>
        <w:tc>
          <w:tcPr/>
          <w:p>
            <w:pPr>
              <w:pStyle w:val="Compact"/>
              <w:jc w:val="left"/>
            </w:pPr>
            <w:r>
              <w:t xml:space="preserve">Q2 2025 (Apr–Jun)</w:t>
            </w:r>
          </w:p>
        </w:tc>
        <w:tc>
          <w:tcPr/>
          <w:p>
            <w:pPr>
              <w:pStyle w:val="Compact"/>
              <w:jc w:val="left"/>
            </w:pPr>
            <w:r>
              <w:t xml:space="preserve">850,000</w:t>
            </w:r>
          </w:p>
        </w:tc>
        <w:tc>
          <w:tcPr/>
          <w:p>
            <w:pPr>
              <w:pStyle w:val="Compact"/>
              <w:jc w:val="left"/>
            </w:pPr>
            <w:r>
              <w:t xml:space="preserve">1</w:t>
            </w:r>
          </w:p>
        </w:tc>
        <w:tc>
          <w:tcPr/>
          <w:p>
            <w:pPr>
              <w:pStyle w:val="Compact"/>
              <w:jc w:val="left"/>
            </w:pPr>
            <w:r>
              <w:t xml:space="preserve">850,000</w:t>
            </w:r>
          </w:p>
        </w:tc>
      </w:tr>
      <w:tr>
        <w:tc>
          <w:tcPr/>
          <w:p>
            <w:pPr>
              <w:pStyle w:val="Compact"/>
              <w:jc w:val="left"/>
            </w:pPr>
            <w:r>
              <w:t xml:space="preserve">2</w:t>
            </w:r>
          </w:p>
        </w:tc>
        <w:tc>
          <w:tcPr/>
          <w:p>
            <w:pPr>
              <w:pStyle w:val="Compact"/>
              <w:jc w:val="left"/>
            </w:pPr>
            <w:r>
              <w:rPr>
                <w:bCs/>
                <w:b/>
              </w:rPr>
              <w:t xml:space="preserve">Economist – Trade &amp; Logistics Impact Assessment</w:t>
            </w:r>
            <w:r>
              <w:br/>
            </w:r>
            <w:r>
              <w:t xml:space="preserve">Detailed economic impact study on proposed expansion of the Vridi terminal in Abidjan, analyzing employment effects, supply chain optimization, and regional trade flow projections across the ECOWAS corridor.</w:t>
            </w:r>
          </w:p>
        </w:tc>
        <w:tc>
          <w:tcPr/>
          <w:p>
            <w:pPr>
              <w:pStyle w:val="Compact"/>
              <w:jc w:val="left"/>
            </w:pPr>
            <w:r>
              <w:t xml:space="preserve">May 2025</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1,200,000</w:t>
            </w:r>
          </w:p>
        </w:tc>
      </w:tr>
      <w:tr>
        <w:tc>
          <w:tcPr/>
          <w:p>
            <w:pPr>
              <w:pStyle w:val="Compact"/>
              <w:jc w:val="left"/>
            </w:pPr>
            <w:r>
              <w:t xml:space="preserve">3</w:t>
            </w:r>
          </w:p>
        </w:tc>
        <w:tc>
          <w:tcPr/>
          <w:p>
            <w:pPr>
              <w:pStyle w:val="Compact"/>
              <w:jc w:val="left"/>
            </w:pPr>
            <w:r>
              <w:rPr>
                <w:bCs/>
                <w:b/>
              </w:rPr>
              <w:t xml:space="preserve">Economist – Currency &amp; Exchange Rate Risk Advisory</w:t>
            </w:r>
            <w:r>
              <w:br/>
            </w:r>
            <w:r>
              <w:t xml:space="preserve">Specialized consultation on CFA franc (XOF) exposure management, hedging strategies, and foreign currency risk mitigation for the client's international trade operations based in Ivory Coast Abidjan.</w:t>
            </w:r>
          </w:p>
        </w:tc>
        <w:tc>
          <w:tcPr/>
          <w:p>
            <w:pPr>
              <w:pStyle w:val="Compact"/>
              <w:jc w:val="left"/>
            </w:pPr>
            <w:r>
              <w:t xml:space="preserve">June 2025</w:t>
            </w:r>
          </w:p>
        </w:tc>
        <w:tc>
          <w:tcPr/>
          <w:p>
            <w:pPr>
              <w:pStyle w:val="Compact"/>
              <w:jc w:val="left"/>
            </w:pPr>
            <w:r>
              <w:t xml:space="preserve">650,000</w:t>
            </w:r>
          </w:p>
        </w:tc>
        <w:tc>
          <w:tcPr/>
          <w:p>
            <w:pPr>
              <w:pStyle w:val="Compact"/>
              <w:jc w:val="left"/>
            </w:pPr>
            <w:r>
              <w:t xml:space="preserve">2</w:t>
            </w:r>
          </w:p>
        </w:tc>
        <w:tc>
          <w:tcPr/>
          <w:p>
            <w:pPr>
              <w:pStyle w:val="Compact"/>
              <w:jc w:val="left"/>
            </w:pPr>
            <w:r>
              <w:t xml:space="preserve">1,300,000</w:t>
            </w:r>
          </w:p>
        </w:tc>
      </w:tr>
      <w:tr>
        <w:tc>
          <w:tcPr/>
          <w:p>
            <w:pPr>
              <w:pStyle w:val="Compact"/>
              <w:jc w:val="left"/>
            </w:pPr>
            <w:r>
              <w:t xml:space="preserve">4</w:t>
            </w:r>
          </w:p>
        </w:tc>
        <w:tc>
          <w:tcPr/>
          <w:p>
            <w:pPr>
              <w:pStyle w:val="Compact"/>
              <w:jc w:val="left"/>
            </w:pPr>
            <w:r>
              <w:rPr>
                <w:bCs/>
                <w:b/>
              </w:rPr>
              <w:t xml:space="preserve">Economist – Sectoral Growth &amp; Investment Feasibility Report</w:t>
            </w:r>
            <w:r>
              <w:br/>
            </w:r>
            <w:r>
              <w:t xml:space="preserve">Preparation of a full feasibility and economic viability report for the proposed Abidjan free-trade zone, including break-even analysis, ROI modeling, and comparative benchmarking against Lagos, Accra, and Dakar port economies.</w:t>
            </w:r>
          </w:p>
        </w:tc>
        <w:tc>
          <w:tcPr/>
          <w:p>
            <w:pPr>
              <w:pStyle w:val="Compact"/>
              <w:jc w:val="left"/>
            </w:pPr>
            <w:r>
              <w:t xml:space="preserve">Apr–Jun 2025</w:t>
            </w:r>
          </w:p>
        </w:tc>
        <w:tc>
          <w:tcPr/>
          <w:p>
            <w:pPr>
              <w:pStyle w:val="Compact"/>
              <w:jc w:val="left"/>
            </w:pPr>
            <w:r>
              <w:t xml:space="preserve">2,400,000</w:t>
            </w:r>
          </w:p>
        </w:tc>
        <w:tc>
          <w:tcPr/>
          <w:p>
            <w:pPr>
              <w:pStyle w:val="Compact"/>
              <w:jc w:val="left"/>
            </w:pPr>
            <w:r>
              <w:t xml:space="preserve">1</w:t>
            </w:r>
          </w:p>
        </w:tc>
        <w:tc>
          <w:tcPr/>
          <w:p>
            <w:pPr>
              <w:pStyle w:val="Compact"/>
              <w:jc w:val="left"/>
            </w:pPr>
            <w:r>
              <w:t xml:space="preserve">2,400,000</w:t>
            </w:r>
          </w:p>
        </w:tc>
      </w:tr>
      <w:tr>
        <w:tc>
          <w:tcPr/>
          <w:p>
            <w:pPr>
              <w:pStyle w:val="Compact"/>
              <w:jc w:val="left"/>
            </w:pPr>
            <w:r>
              <w:t xml:space="preserve">5</w:t>
            </w:r>
          </w:p>
        </w:tc>
        <w:tc>
          <w:tcPr/>
          <w:p>
            <w:pPr>
              <w:pStyle w:val="Compact"/>
              <w:jc w:val="left"/>
            </w:pPr>
            <w:r>
              <w:rPr>
                <w:bCs/>
                <w:b/>
              </w:rPr>
              <w:t xml:space="preserve">Economist – Board Presentation &amp; Stakeholder Briefing</w:t>
            </w:r>
            <w:r>
              <w:br/>
            </w:r>
            <w:r>
              <w:t xml:space="preserve">Delivery of a formal presentation to the Abidjan Port Authority board of directors summarizing all findings, economic recommendations, and strategic growth pathways for the Ivory Coast Abidjan commercial hub.</w:t>
            </w:r>
          </w:p>
        </w:tc>
        <w:tc>
          <w:tcPr/>
          <w:p>
            <w:pPr>
              <w:pStyle w:val="Compact"/>
              <w:jc w:val="left"/>
            </w:pPr>
            <w:r>
              <w:t xml:space="preserve">12 June 2025</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6</w:t>
            </w:r>
          </w:p>
        </w:tc>
        <w:tc>
          <w:tcPr/>
          <w:p>
            <w:pPr>
              <w:pStyle w:val="Compact"/>
              <w:jc w:val="left"/>
            </w:pPr>
            <w:r>
              <w:rPr>
                <w:bCs/>
                <w:b/>
              </w:rPr>
              <w:t xml:space="preserve">Economist – Ongoing Advisory Retainer (Monthly)</w:t>
            </w:r>
            <w:r>
              <w:br/>
            </w:r>
            <w:r>
              <w:t xml:space="preserve">Continued access to the lead Economist for ad-hoc queries, data interpretation, regulatory economic commentary, and urgent analytical support throughout the engagement period in Ivory Coast Abidjan.</w:t>
            </w:r>
          </w:p>
        </w:tc>
        <w:tc>
          <w:tcPr/>
          <w:p>
            <w:pPr>
              <w:pStyle w:val="Compact"/>
              <w:jc w:val="left"/>
            </w:pPr>
            <w:r>
              <w:t xml:space="preserve">Apr–Jun 2025</w:t>
            </w:r>
          </w:p>
        </w:tc>
        <w:tc>
          <w:tcPr/>
          <w:p>
            <w:pPr>
              <w:pStyle w:val="Compact"/>
              <w:jc w:val="left"/>
            </w:pPr>
            <w:r>
              <w:t xml:space="preserve">350,000</w:t>
            </w:r>
          </w:p>
        </w:tc>
        <w:tc>
          <w:tcPr/>
          <w:p>
            <w:pPr>
              <w:pStyle w:val="Compact"/>
              <w:jc w:val="left"/>
            </w:pPr>
            <w:r>
              <w:t xml:space="preserve">3</w:t>
            </w:r>
          </w:p>
        </w:tc>
        <w:tc>
          <w:tcPr/>
          <w:p>
            <w:pPr>
              <w:pStyle w:val="Compact"/>
              <w:jc w:val="left"/>
            </w:pPr>
            <w:r>
              <w:t xml:space="preserve">1,050,000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7,250,000 XOF</w:t>
            </w:r>
          </w:p>
        </w:tc>
      </w:tr>
      <w:tr>
        <w:tc>
          <w:tcPr/>
          <w:p>
            <w:pPr>
              <w:pStyle w:val="Compact"/>
              <w:jc w:val="left"/>
            </w:pPr>
            <w:r>
              <w:t xml:space="preserve">VAT (18% – Ivory Coast Standard Rate)</w:t>
            </w:r>
          </w:p>
        </w:tc>
        <w:tc>
          <w:tcPr/>
          <w:p>
            <w:pPr>
              <w:pStyle w:val="Compact"/>
              <w:jc w:val="right"/>
            </w:pPr>
            <w:r>
              <w:t xml:space="preserve">1,305,000 XOF</w:t>
            </w:r>
          </w:p>
        </w:tc>
      </w:tr>
      <w:tr>
        <w:tc>
          <w:tcPr/>
          <w:p>
            <w:pPr>
              <w:pStyle w:val="Compact"/>
              <w:jc w:val="left"/>
            </w:pPr>
            <w:r>
              <w:t xml:space="preserve">Withholding Tax (5% – Professional Services)</w:t>
            </w:r>
          </w:p>
        </w:tc>
        <w:tc>
          <w:tcPr/>
          <w:p>
            <w:pPr>
              <w:pStyle w:val="Compact"/>
              <w:jc w:val="right"/>
            </w:pPr>
            <w:r>
              <w:t xml:space="preserve">(362,500) XOF</w:t>
            </w:r>
          </w:p>
        </w:tc>
      </w:tr>
      <w:tr>
        <w:tc>
          <w:tcPr/>
          <w:p>
            <w:pPr>
              <w:pStyle w:val="Compact"/>
              <w:jc w:val="left"/>
            </w:pPr>
            <w:r>
              <w:t xml:space="preserve">Grand Total Due</w:t>
            </w:r>
          </w:p>
        </w:tc>
        <w:tc>
          <w:tcPr/>
          <w:p>
            <w:pPr>
              <w:pStyle w:val="Compact"/>
              <w:jc w:val="right"/>
            </w:pPr>
            <w:r>
              <w:t xml:space="preserve">8,192,500 XOF</w:t>
            </w:r>
          </w:p>
        </w:tc>
      </w:tr>
    </w:tbl>
    <w:bookmarkStart w:id="24" w:name="payment-terms-conditions"/>
    <w:p>
      <w:pPr>
        <w:pStyle w:val="Heading3"/>
      </w:pPr>
      <w:r>
        <w:t xml:space="preserve">Payment Terms &amp; Conditions</w:t>
      </w:r>
    </w:p>
    <w:p>
      <w:pPr>
        <w:pStyle w:val="FirstParagraph"/>
      </w:pPr>
      <w:r>
        <w:t xml:space="preserve">This Invoice must be settled in full within thirty (30) calendar days from the date of issue, i.e., no later than 15 July 2025. Payment shall be made via bank transfer to the account details specified above in the Ivory Coast Abidjan banking network. All amounts are denominated in West African CFA Francs (XOF, ISO code: XOF).</w:t>
      </w:r>
    </w:p>
    <w:p>
      <w:pPr>
        <w:pStyle w:val="BodyText"/>
      </w:pPr>
      <w:r>
        <w:t xml:space="preserve">A late payment penalty of 1.5% per month (or fraction thereof) shall apply to any outstanding balance after the due date, in accordance with the commercial code of the Ivory Coast. The Economist services rendered under this Invoice are non-refundable once the engagement period has commenced.</w:t>
      </w:r>
    </w:p>
    <w:p>
      <w:pPr>
        <w:pStyle w:val="BodyText"/>
      </w:pPr>
      <w:r>
        <w:t xml:space="preserve">Disputes regarding this Invoice or the associated Economist services shall be resolved through the competent commercial courts of Abidjan, Ivory Coast, in accordance with the applicable provisions of the OHADA Uniform Act on Commercial Law.</w:t>
      </w:r>
    </w:p>
    <w:bookmarkEnd w:id="24"/>
    <w:bookmarkStart w:id="25" w:name="important-notes-regarding-this-invoice"/>
    <w:p>
      <w:pPr>
        <w:pStyle w:val="Heading3"/>
      </w:pPr>
      <w:r>
        <w:t xml:space="preserve">Important Notes Regarding This Invoice</w:t>
      </w:r>
    </w:p>
    <w:p>
      <w:pPr>
        <w:pStyle w:val="FirstParagraph"/>
      </w:pPr>
      <w:r>
        <w:t xml:space="preserve">1. This Invoice has been prepared and issued in compliance with the tax regulations of the Direction Générale des Impôts (DGI) of the Ivory Coast. A stamped copy of this Invoice must be retained by the client for their corporate tax records.</w:t>
      </w:r>
    </w:p>
    <w:p>
      <w:pPr>
        <w:pStyle w:val="BodyText"/>
      </w:pPr>
      <w:r>
        <w:t xml:space="preserve">2. The Economist services detailed herein were performed by certified professionals holding valid licenses issued by the Ivorian Ministry of Economy and Finance. All analytical work was conducted in Ivory Coast Abidjan unless otherwise noted.</w:t>
      </w:r>
    </w:p>
    <w:p>
      <w:pPr>
        <w:pStyle w:val="BodyText"/>
      </w:pPr>
      <w:r>
        <w:t xml:space="preserve">3. All data, models, and reports delivered under this Invoice remain the intellectual property of Macroeconomic Advisory &amp; Consulting Ltd. The client receives a non-exclusive, non-transferable license to use the findings for internal strategic purposes only.</w:t>
      </w:r>
    </w:p>
    <w:p>
      <w:pPr>
        <w:pStyle w:val="BodyText"/>
      </w:pPr>
      <w:r>
        <w:t xml:space="preserve">4. This Invoice is valid for one hundred and eighty (180) days from the date of issue. After this period, the client must request a re-issued Invoice to maintain its validity for accounting and tax purposes.</w:t>
      </w:r>
    </w:p>
    <w:p>
      <w:pPr>
        <w:pStyle w:val="BodyText"/>
      </w:pPr>
      <w:r>
        <w:t xml:space="preserve">5. For any questions regarding this Invoice or the scope of Economist services rendered, please contact our billing department at billing@macroadvisory-ci.com or by telephone at +225 27 22 45 67 89, extension 204, during business hours (Monday to Friday, 08:00–17:00 GMT).</w:t>
      </w:r>
    </w:p>
    <w:bookmarkEnd w:id="25"/>
    <w:p>
      <w:pPr>
        <w:pStyle w:val="BodyText"/>
      </w:pPr>
      <w:r>
        <w:rPr>
          <w:bCs/>
          <w:b/>
        </w:rPr>
        <w:t xml:space="preserve">Macroeconomic Advisory &amp; Consulting Ltd.</w:t>
      </w:r>
      <w:r>
        <w:t xml:space="preserve"> </w:t>
      </w:r>
      <w:r>
        <w:t xml:space="preserve">– Professional Economist Services in Ivory Coast Abidjan</w:t>
      </w:r>
    </w:p>
    <w:p>
      <w:pPr>
        <w:pStyle w:val="BodyText"/>
      </w:pPr>
      <w:r>
        <w:t xml:space="preserve">Registered in the Trade Register of Abidjan | RC: CI-ABJ-2019-B-4521 | NIF: 12345678901 | NINEA: 12345678901234</w:t>
      </w:r>
    </w:p>
    <w:p>
      <w:pPr>
        <w:pStyle w:val="BodyText"/>
      </w:pPr>
      <w:r>
        <w:t xml:space="preserve">This Invoice was generated electronically and is valid without a physical signature. Digital reference: INV-2025-EC-00847-VERIFIED</w:t>
      </w:r>
    </w:p>
    <w:p>
      <w:pPr>
        <w:pStyle w:val="BodyText"/>
      </w:pPr>
      <w:r>
        <w:t xml:space="preserve">Thank you for engaging our Economist team. We look forward to continuing our partnership in supporting the economic growth of Ivory Coast Abidjan.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Services - Ivory Coast Abidjan</dc:title>
  <dc:creator/>
  <dc:language>en</dc:language>
  <cp:keywords/>
  <dcterms:created xsi:type="dcterms:W3CDTF">2026-10-10T08:38:33Z</dcterms:created>
  <dcterms:modified xsi:type="dcterms:W3CDTF">2026-10-10T08:38:33Z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