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invoice"/>
    <w:p>
      <w:pPr>
        <w:pStyle w:val="Heading1"/>
      </w:pPr>
      <w:r>
        <w:t xml:space="preserve">INVOICE</w:t>
      </w:r>
    </w:p>
    <w:p>
      <w:pPr>
        <w:pStyle w:val="FirstParagraph"/>
      </w:pPr>
      <w:r>
        <w:t xml:space="preserve">Professional Economist Consulting Services — Japan Osaka Region</w:t>
      </w:r>
    </w:p>
    <w:p>
      <w:pPr>
        <w:pStyle w:val="BodyText"/>
      </w:pPr>
      <w:r>
        <w:t xml:space="preserve">ECONOMIST SERVICES</w:t>
      </w:r>
      <w:r>
        <w:t xml:space="preserve"> </w:t>
      </w:r>
      <w:r>
        <w:t xml:space="preserve"> </w:t>
      </w:r>
      <w:r>
        <w:t xml:space="preserve"> </w:t>
      </w:r>
      <w:r>
        <w:t xml:space="preserve">JAPAN OSAKA</w:t>
      </w:r>
    </w:p>
    <w:bookmarkEnd w:id="20"/>
    <w:bookmarkStart w:id="21" w:name="invoice-issued-by-economist"/>
    <w:p>
      <w:pPr>
        <w:pStyle w:val="Heading3"/>
      </w:pPr>
      <w:r>
        <w:t xml:space="preserve">Invoice Issued By (Economist)</w:t>
      </w:r>
    </w:p>
    <w:p>
      <w:pPr>
        <w:pStyle w:val="FirstParagraph"/>
      </w:pPr>
      <w:r>
        <w:rPr>
          <w:bCs/>
          <w:b/>
        </w:rPr>
        <w:t xml:space="preserve">Dr. Kenji Tanaka, Ph.D. in Economics</w:t>
      </w:r>
    </w:p>
    <w:p>
      <w:pPr>
        <w:pStyle w:val="BodyText"/>
      </w:pPr>
      <w:r>
        <w:t xml:space="preserve">Senior Economist &amp; Macroeconomic Consultant</w:t>
      </w:r>
    </w:p>
    <w:p>
      <w:pPr>
        <w:pStyle w:val="BodyText"/>
      </w:pPr>
      <w:r>
        <w:t xml:space="preserve">Tanaka Economic Advisory Group</w:t>
      </w:r>
    </w:p>
    <w:p>
      <w:pPr>
        <w:pStyle w:val="BodyText"/>
      </w:pPr>
      <w:r>
        <w:t xml:space="preserve">14-2, Umeda, Kita-ku</w:t>
      </w:r>
    </w:p>
    <w:p>
      <w:pPr>
        <w:pStyle w:val="BodyText"/>
      </w:pPr>
      <w:r>
        <w:t xml:space="preserve">Osaka 530-0001, Japan</w:t>
      </w:r>
    </w:p>
    <w:p>
      <w:pPr>
        <w:pStyle w:val="BodyText"/>
      </w:pPr>
      <w:r>
        <w:t xml:space="preserve">Tel: +81-6-6345-7890</w:t>
      </w:r>
    </w:p>
    <w:p>
      <w:pPr>
        <w:pStyle w:val="BodyText"/>
      </w:pPr>
      <w:r>
        <w:t xml:space="preserve">Email: k.tanaka@tanaka-econ.jp</w:t>
      </w:r>
    </w:p>
    <w:p>
      <w:pPr>
        <w:pStyle w:val="BodyText"/>
      </w:pPr>
      <w:r>
        <w:t xml:space="preserve">Corporate Tax ID: 9010001234567</w:t>
      </w:r>
    </w:p>
    <w:bookmarkEnd w:id="21"/>
    <w:bookmarkStart w:id="22" w:name="invoice-billed-to-client"/>
    <w:p>
      <w:pPr>
        <w:pStyle w:val="Heading3"/>
      </w:pPr>
      <w:r>
        <w:t xml:space="preserve">Invoice Billed To (Client)</w:t>
      </w:r>
    </w:p>
    <w:p>
      <w:pPr>
        <w:pStyle w:val="FirstParagraph"/>
      </w:pPr>
      <w:r>
        <w:rPr>
          <w:bCs/>
          <w:b/>
        </w:rPr>
        <w:t xml:space="preserve">Osaka Metropolitan Development Authority</w:t>
      </w:r>
    </w:p>
    <w:p>
      <w:pPr>
        <w:pStyle w:val="BodyText"/>
      </w:pPr>
      <w:r>
        <w:t xml:space="preserve">Attn: Director of Economic Planning Division</w:t>
      </w:r>
    </w:p>
    <w:p>
      <w:pPr>
        <w:pStyle w:val="BodyText"/>
      </w:pPr>
      <w:r>
        <w:t xml:space="preserve">1-1, Nakanoshima, Kita-ku</w:t>
      </w:r>
    </w:p>
    <w:p>
      <w:pPr>
        <w:pStyle w:val="BodyText"/>
      </w:pPr>
      <w:r>
        <w:t xml:space="preserve">Osaka 530-0009, Japan</w:t>
      </w:r>
    </w:p>
    <w:p>
      <w:pPr>
        <w:pStyle w:val="BodyText"/>
      </w:pPr>
      <w:r>
        <w:t xml:space="preserve">Tel: +81-6-6202-1000</w:t>
      </w:r>
    </w:p>
    <w:p>
      <w:pPr>
        <w:pStyle w:val="BodyText"/>
      </w:pPr>
      <w:r>
        <w:t xml:space="preserve">Email: econ.planning@osaka-met.go.jp</w:t>
      </w:r>
    </w:p>
    <w:p>
      <w:pPr>
        <w:pStyle w:val="BodyText"/>
      </w:pPr>
      <w:r>
        <w:t xml:space="preserve">Client Reference: OMDA-2025-ECON-0042</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INV-2025-OSK-0087</w:t>
            </w:r>
          </w:p>
        </w:tc>
      </w:tr>
      <w:tr>
        <w:tc>
          <w:tcPr/>
          <w:p>
            <w:pPr>
              <w:pStyle w:val="Compact"/>
              <w:jc w:val="left"/>
            </w:pPr>
            <w:r>
              <w:t xml:space="preserve">Invoice Date:</w:t>
            </w:r>
          </w:p>
        </w:tc>
        <w:tc>
          <w:tcPr/>
          <w:p>
            <w:pPr>
              <w:pStyle w:val="Compact"/>
              <w:jc w:val="left"/>
            </w:pPr>
            <w:r>
              <w:t xml:space="preserve">June 15, 2025</w:t>
            </w:r>
          </w:p>
        </w:tc>
      </w:tr>
      <w:tr>
        <w:tc>
          <w:tcPr/>
          <w:p>
            <w:pPr>
              <w:pStyle w:val="Compact"/>
              <w:jc w:val="left"/>
            </w:pPr>
            <w:r>
              <w:t xml:space="preserve">Service Period:</w:t>
            </w:r>
          </w:p>
        </w:tc>
        <w:tc>
          <w:tcPr/>
          <w:p>
            <w:pPr>
              <w:pStyle w:val="Compact"/>
              <w:jc w:val="left"/>
            </w:pPr>
            <w:r>
              <w:t xml:space="preserve">January 1, 2025 – May 31, 2025</w:t>
            </w:r>
          </w:p>
        </w:tc>
      </w:tr>
      <w:tr>
        <w:tc>
          <w:tcPr/>
          <w:p>
            <w:pPr>
              <w:pStyle w:val="Compact"/>
              <w:jc w:val="left"/>
            </w:pPr>
            <w:r>
              <w:t xml:space="preserve">Due Date:</w:t>
            </w:r>
          </w:p>
        </w:tc>
        <w:tc>
          <w:tcPr/>
          <w:p>
            <w:pPr>
              <w:pStyle w:val="Compact"/>
              <w:jc w:val="left"/>
            </w:pPr>
            <w:r>
              <w:t xml:space="preserve">July 15, 2025</w:t>
            </w:r>
          </w:p>
        </w:tc>
      </w:tr>
      <w:tr>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Payment Method:</w:t>
            </w:r>
          </w:p>
        </w:tc>
        <w:tc>
          <w:tcPr/>
          <w:p>
            <w:pPr>
              <w:pStyle w:val="Compact"/>
              <w:jc w:val="left"/>
            </w:pPr>
            <w:r>
              <w:t xml:space="preserve">Bank Transfer (Osaka Bank, A/C 001-2345-6789)</w:t>
            </w:r>
          </w:p>
        </w:tc>
      </w:tr>
    </w:tbl>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Service Location</w:t>
            </w:r>
          </w:p>
        </w:tc>
        <w:tc>
          <w:tcPr/>
          <w:p>
            <w:pPr>
              <w:pStyle w:val="Compact"/>
              <w:jc w:val="left"/>
            </w:pPr>
            <w:r>
              <w:t xml:space="preserve">Hours / Units</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Macroeconomic Analysis &amp; Forecasting for the Japan Osaka metropolitan region, including GDP projections, inflation modeling, and labor market assessments for the fiscal year 2025–2026.</w:t>
            </w:r>
          </w:p>
        </w:tc>
        <w:tc>
          <w:tcPr/>
          <w:p>
            <w:pPr>
              <w:pStyle w:val="Compact"/>
              <w:jc w:val="left"/>
            </w:pPr>
            <w:r>
              <w:t xml:space="preserve">Osaka, Japan</w:t>
            </w:r>
          </w:p>
        </w:tc>
        <w:tc>
          <w:tcPr/>
          <w:p>
            <w:pPr>
              <w:pStyle w:val="Compact"/>
              <w:jc w:val="left"/>
            </w:pPr>
            <w:r>
              <w:t xml:space="preserve">120 hrs</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2</w:t>
            </w:r>
          </w:p>
        </w:tc>
        <w:tc>
          <w:tcPr/>
          <w:p>
            <w:pPr>
              <w:pStyle w:val="Compact"/>
              <w:jc w:val="left"/>
            </w:pPr>
            <w:r>
              <w:t xml:space="preserve">Preparation of comprehensive economic policy briefs and advisory memoranda for the Osaka Metropolitan Development Authority, addressing trade policy implications, fiscal stimulus recommendations, and regional competitiveness strategies.</w:t>
            </w:r>
          </w:p>
        </w:tc>
        <w:tc>
          <w:tcPr/>
          <w:p>
            <w:pPr>
              <w:pStyle w:val="Compact"/>
              <w:jc w:val="left"/>
            </w:pPr>
            <w:r>
              <w:t xml:space="preserve">Osaka, Japan</w:t>
            </w:r>
          </w:p>
        </w:tc>
        <w:tc>
          <w:tcPr/>
          <w:p>
            <w:pPr>
              <w:pStyle w:val="Compact"/>
              <w:jc w:val="left"/>
            </w:pPr>
            <w:r>
              <w:t xml:space="preserve">80 hrs</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3</w:t>
            </w:r>
          </w:p>
        </w:tc>
        <w:tc>
          <w:tcPr/>
          <w:p>
            <w:pPr>
              <w:pStyle w:val="Compact"/>
              <w:jc w:val="left"/>
            </w:pPr>
            <w:r>
              <w:t xml:space="preserve">Conduct of on-site economic surveys and stakeholder interviews across the Japan Osaka industrial corridor, including manufacturing, logistics, and technology sectors in Umeda, Namba, and the Osaka Bay Area.</w:t>
            </w:r>
          </w:p>
        </w:tc>
        <w:tc>
          <w:tcPr/>
          <w:p>
            <w:pPr>
              <w:pStyle w:val="Compact"/>
              <w:jc w:val="left"/>
            </w:pPr>
            <w:r>
              <w:t xml:space="preserve">Osaka, Japan</w:t>
            </w:r>
          </w:p>
        </w:tc>
        <w:tc>
          <w:tcPr/>
          <w:p>
            <w:pPr>
              <w:pStyle w:val="Compact"/>
              <w:jc w:val="left"/>
            </w:pPr>
            <w:r>
              <w:t xml:space="preserve">45 hrs</w:t>
            </w:r>
          </w:p>
        </w:tc>
        <w:tc>
          <w:tcPr/>
          <w:p>
            <w:pPr>
              <w:pStyle w:val="Compact"/>
              <w:jc w:val="left"/>
            </w:pPr>
            <w:r>
              <w:t xml:space="preserve">20,000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Delivery of two (2) formal presentations to the Japan Osaka Economic Council, covering the impact of global supply chain restructuring on local industries and recommendations for workforce development in emerging technology fields.</w:t>
            </w:r>
          </w:p>
        </w:tc>
        <w:tc>
          <w:tcPr/>
          <w:p>
            <w:pPr>
              <w:pStyle w:val="Compact"/>
              <w:jc w:val="left"/>
            </w:pPr>
            <w:r>
              <w:t xml:space="preserve">Osaka, Japan</w:t>
            </w:r>
          </w:p>
        </w:tc>
        <w:tc>
          <w:tcPr/>
          <w:p>
            <w:pPr>
              <w:pStyle w:val="Compact"/>
              <w:jc w:val="left"/>
            </w:pPr>
            <w:r>
              <w:t xml:space="preserve">2 sessions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5</w:t>
            </w:r>
          </w:p>
        </w:tc>
        <w:tc>
          <w:tcPr/>
          <w:p>
            <w:pPr>
              <w:pStyle w:val="Compact"/>
              <w:jc w:val="left"/>
            </w:pPr>
            <w:r>
              <w:t xml:space="preserve">Development of a quantitative economic model for the Japan Osaka port authority, analyzing cargo volume trends, shipping cost indices, and projected revenue streams through 2030.</w:t>
            </w:r>
          </w:p>
        </w:tc>
        <w:tc>
          <w:tcPr/>
          <w:p>
            <w:pPr>
              <w:pStyle w:val="Compact"/>
              <w:jc w:val="left"/>
            </w:pPr>
            <w:r>
              <w:t xml:space="preserve">Osaka, Japan</w:t>
            </w:r>
          </w:p>
        </w:tc>
        <w:tc>
          <w:tcPr/>
          <w:p>
            <w:pPr>
              <w:pStyle w:val="Compact"/>
              <w:jc w:val="left"/>
            </w:pPr>
            <w:r>
              <w:t xml:space="preserve">60 hrs</w:t>
            </w:r>
          </w:p>
        </w:tc>
        <w:tc>
          <w:tcPr/>
          <w:p>
            <w:pPr>
              <w:pStyle w:val="Compact"/>
              <w:jc w:val="left"/>
            </w:pPr>
            <w:r>
              <w:t xml:space="preserve">25,000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Ad-hoc economist consultation and telephone advisory sessions for the Japan Osaka municipal finance department regarding bond issuance strategy, interest rate sensitivity analysis, and sovereign credit rating considerations.</w:t>
            </w:r>
          </w:p>
        </w:tc>
        <w:tc>
          <w:tcPr/>
          <w:p>
            <w:pPr>
              <w:pStyle w:val="Compact"/>
              <w:jc w:val="left"/>
            </w:pPr>
            <w:r>
              <w:t xml:space="preserve">Osaka, Japan (Remote)</w:t>
            </w:r>
          </w:p>
        </w:tc>
        <w:tc>
          <w:tcPr/>
          <w:p>
            <w:pPr>
              <w:pStyle w:val="Compact"/>
              <w:jc w:val="left"/>
            </w:pPr>
            <w:r>
              <w:t xml:space="preserve">30 hrs</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Publication and distribution of the quarterly "Japan Osaka Economic Outlook" report, including data visualization, executive summary, and peer-reviewed methodology documentation prepared by the lead economist.</w:t>
            </w:r>
          </w:p>
        </w:tc>
        <w:tc>
          <w:tcPr/>
          <w:p>
            <w:pPr>
              <w:pStyle w:val="Compact"/>
              <w:jc w:val="left"/>
            </w:pPr>
            <w:r>
              <w:t xml:space="preserve">Osaka, Japan</w:t>
            </w:r>
          </w:p>
        </w:tc>
        <w:tc>
          <w:tcPr/>
          <w:p>
            <w:pPr>
              <w:pStyle w:val="Compact"/>
              <w:jc w:val="left"/>
            </w:pPr>
            <w:r>
              <w:t xml:space="preserve">4 reports</w:t>
            </w:r>
          </w:p>
        </w:tc>
        <w:tc>
          <w:tcPr/>
          <w:p>
            <w:pPr>
              <w:pStyle w:val="Compact"/>
              <w:jc w:val="left"/>
            </w:pPr>
            <w:r>
              <w:t xml:space="preserve">120,000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(Economist Services)</w:t>
            </w:r>
          </w:p>
        </w:tc>
        <w:tc>
          <w:tcPr/>
          <w:p>
            <w:pPr>
              <w:pStyle w:val="Compact"/>
              <w:jc w:val="left"/>
            </w:pPr>
            <w:r>
              <w:t xml:space="preserve">7,950,000 JPY</w:t>
            </w:r>
          </w:p>
        </w:tc>
      </w:tr>
      <w:tr>
        <w:tc>
          <w:tcPr/>
          <w:p>
            <w:pPr>
              <w:pStyle w:val="Compact"/>
              <w:jc w:val="left"/>
            </w:pPr>
            <w:r>
              <w:t xml:space="preserve">Consumption Tax (10% — Japan National Rate)</w:t>
            </w:r>
          </w:p>
        </w:tc>
        <w:tc>
          <w:tcPr/>
          <w:p>
            <w:pPr>
              <w:pStyle w:val="Compact"/>
              <w:jc w:val="left"/>
            </w:pPr>
            <w:r>
              <w:t xml:space="preserve">795,000 JPY</w:t>
            </w:r>
          </w:p>
        </w:tc>
      </w:tr>
      <w:tr>
        <w:tc>
          <w:tcPr/>
          <w:p>
            <w:pPr>
              <w:pStyle w:val="Compact"/>
              <w:jc w:val="left"/>
            </w:pPr>
            <w:r>
              <w:t xml:space="preserve">Osaka Prefectural Inhabitant Tax Surcharge (2%)</w:t>
            </w:r>
          </w:p>
        </w:tc>
        <w:tc>
          <w:tcPr/>
          <w:p>
            <w:pPr>
              <w:pStyle w:val="Compact"/>
              <w:jc w:val="left"/>
            </w:pPr>
            <w:r>
              <w:t xml:space="preserve">159,000 JPY</w:t>
            </w:r>
          </w:p>
        </w:tc>
      </w:tr>
      <w:tr>
        <w:tc>
          <w:tcPr/>
          <w:p>
            <w:pPr>
              <w:pStyle w:val="Compact"/>
              <w:jc w:val="left"/>
            </w:pPr>
            <w:r>
              <w:t xml:space="preserve">Osaka Municipal Inhabitant Tax Surcharge (1%)</w:t>
            </w:r>
          </w:p>
        </w:tc>
        <w:tc>
          <w:tcPr/>
          <w:p>
            <w:pPr>
              <w:pStyle w:val="Compact"/>
              <w:jc w:val="left"/>
            </w:pPr>
            <w:r>
              <w:t xml:space="preserve">79,500 JPY</w:t>
            </w:r>
          </w:p>
        </w:tc>
      </w:tr>
      <w:tr>
        <w:tc>
          <w:tcPr/>
          <w:p>
            <w:pPr>
              <w:pStyle w:val="Compact"/>
              <w:jc w:val="left"/>
            </w:pPr>
            <w:r>
              <w:t xml:space="preserve">Grand Total Due</w:t>
            </w:r>
          </w:p>
        </w:tc>
        <w:tc>
          <w:tcPr/>
          <w:p>
            <w:pPr>
              <w:pStyle w:val="Compact"/>
              <w:jc w:val="left"/>
            </w:pPr>
            <w:r>
              <w:t xml:space="preserve">8,983,500 JPY</w:t>
            </w:r>
          </w:p>
        </w:tc>
      </w:tr>
    </w:tbl>
    <w:bookmarkStart w:id="23" w:name="Xf2a0300152a5d69a3bb88a4cd03f6f0ee33afe3"/>
    <w:p>
      <w:pPr>
        <w:pStyle w:val="Heading3"/>
      </w:pPr>
      <w:r>
        <w:t xml:space="preserve">Invoice Terms &amp; Conditions — Economist Engagement in Japan Osaka</w:t>
      </w:r>
    </w:p>
    <w:p>
      <w:pPr>
        <w:pStyle w:val="FirstParagraph"/>
      </w:pPr>
      <w:r>
        <w:t xml:space="preserve">This Invoice (INV-2025-OSK-0087) constitutes the final and binding financial statement for all professional economist services rendered by Dr. Kenji Tanaka and the Tanaka Economic Advisory Group to the Osaka Metropolitan Development Authority during the service period specified above. All services were performed in accordance with the Master Service Agreement dated November 12, 2024, governing economist engagements within the Japan Osaka metropolitan area.</w:t>
      </w:r>
    </w:p>
    <w:p>
      <w:pPr>
        <w:numPr>
          <w:ilvl w:val="0"/>
          <w:numId w:val="1001"/>
        </w:numPr>
        <w:pStyle w:val="Compact"/>
      </w:pPr>
      <w:r>
        <w:t xml:space="preserve">Payment is due within thirty (30) calendar days of the Invoice date. Late payments shall accrue interest at a rate of 1.5% per month, in compliance with the Japan Osaka commercial transaction regulations.</w:t>
      </w:r>
    </w:p>
    <w:p>
      <w:pPr>
        <w:numPr>
          <w:ilvl w:val="0"/>
          <w:numId w:val="1001"/>
        </w:numPr>
        <w:pStyle w:val="Compact"/>
      </w:pPr>
      <w:r>
        <w:t xml:space="preserve">All amounts stated in this Invoice are denominated in Japanese Yen (JPY). The economist services were delivered exclusively within the jurisdiction of Osaka Prefecture, Japan, and are subject to the applicable national and local tax obligations as itemized above.</w:t>
      </w:r>
    </w:p>
    <w:p>
      <w:pPr>
        <w:numPr>
          <w:ilvl w:val="0"/>
          <w:numId w:val="1001"/>
        </w:numPr>
        <w:pStyle w:val="Compact"/>
      </w:pPr>
      <w:r>
        <w:t xml:space="preserve">The client acknowledges that the economic forecasts, policy recommendations, and analytical models provided by the economist are based on data available at the time of preparation and do not constitute guarantees of future economic performance in the Japan Osaka region.</w:t>
      </w:r>
    </w:p>
    <w:p>
      <w:pPr>
        <w:numPr>
          <w:ilvl w:val="0"/>
          <w:numId w:val="1001"/>
        </w:numPr>
        <w:pStyle w:val="Compact"/>
      </w:pPr>
      <w:r>
        <w:t xml:space="preserve">Confidentiality: All proprietary data, unpublished research, and internal economic models shared during this economist engagement in Japan Osaka remain the exclusive intellectual property of the respective parties as defined in the NDA executed concurrently with the Master Service Agreement.</w:t>
      </w:r>
    </w:p>
    <w:p>
      <w:pPr>
        <w:numPr>
          <w:ilvl w:val="0"/>
          <w:numId w:val="1001"/>
        </w:numPr>
        <w:pStyle w:val="Compact"/>
      </w:pPr>
      <w:r>
        <w:t xml:space="preserve">Disputes arising from this Invoice or the underlying economist services shall be resolved through arbitration in Osaka, Japan, under the rules of the Japan Commercial Arbitration Association.</w:t>
      </w:r>
    </w:p>
    <w:p>
      <w:pPr>
        <w:numPr>
          <w:ilvl w:val="0"/>
          <w:numId w:val="1001"/>
        </w:numPr>
        <w:pStyle w:val="Compact"/>
      </w:pPr>
      <w:r>
        <w:t xml:space="preserve">This Invoice must be retained by the client for a minimum of seven (7) years in accordance with the Japanese Tax Code and Osaka municipal record-keeping requirements.</w:t>
      </w:r>
    </w:p>
    <w:p>
      <w:pPr>
        <w:pStyle w:val="FirstParagraph"/>
      </w:pPr>
      <w:r>
        <w:rPr>
          <w:bCs/>
          <w:b/>
        </w:rPr>
        <w:t xml:space="preserve">Authorized Signature (Economist):</w:t>
      </w:r>
      <w:r>
        <w:t xml:space="preserve"> </w:t>
      </w:r>
      <w:r>
        <w:t xml:space="preserve">Dr. Kenji Tanaka — Senior Economist, Tanaka Economic Advisory Group, Osaka, Japan</w:t>
      </w:r>
    </w:p>
    <w:p>
      <w:pPr>
        <w:pStyle w:val="BodyText"/>
      </w:pPr>
      <w:r>
        <w:rPr>
          <w:bCs/>
          <w:b/>
        </w:rPr>
        <w:t xml:space="preserve">Client Acknowledgment:</w:t>
      </w:r>
      <w:r>
        <w:t xml:space="preserve"> </w:t>
      </w:r>
      <w:r>
        <w:t xml:space="preserve">Osaka Metropolitan Development Authority — Director of Economic Planning Division</w:t>
      </w:r>
    </w:p>
    <w:bookmarkEnd w:id="23"/>
    <w:p>
      <w:pPr>
        <w:pStyle w:val="BodyText"/>
      </w:pPr>
      <w:r>
        <w:rPr>
          <w:bCs/>
          <w:b/>
        </w:rPr>
        <w:t xml:space="preserve">Tanaka Economic Advisory Group</w:t>
      </w:r>
      <w:r>
        <w:t xml:space="preserve"> </w:t>
      </w:r>
      <w:r>
        <w:t xml:space="preserve">| 14-2 Umeda, Kita-ku, Osaka 530-0001, Japan</w:t>
      </w:r>
    </w:p>
    <w:p>
      <w:pPr>
        <w:pStyle w:val="BodyText"/>
      </w:pPr>
      <w:r>
        <w:t xml:space="preserve">Registered Economist Firm No. OSK-2019-0045 | Japan Osaka Economic Consultants Registry</w:t>
      </w:r>
    </w:p>
    <w:p>
      <w:pPr>
        <w:pStyle w:val="BodyText"/>
      </w:pPr>
      <w:r>
        <w:t xml:space="preserve">This Invoice was generated electronically and is valid without a physical signature. For inquiries regarding this Invoice or the economist services described herein, please contact the billing department at billing@tanaka-econ.jp or +81-6-6345-7891.</w:t>
      </w:r>
    </w:p>
    <w:p>
      <w:pPr>
        <w:pStyle w:val="BodyText"/>
      </w:pPr>
      <w:r>
        <w:t xml:space="preserve">© 2025 Tanaka Economic Advisory Group. All rights reserved. Invoice INV-2025-OSK-0087 —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Japan Osaka</dc:title>
  <dc:creator/>
  <dc:language>en</dc:language>
  <cp:keywords/>
  <dcterms:created xsi:type="dcterms:W3CDTF">2026-10-10T01:58:01Z</dcterms:created>
  <dcterms:modified xsi:type="dcterms:W3CDTF">2026-10-10T01:58:01Z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