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economic-consulting-group"/>
    <w:p>
      <w:pPr>
        <w:pStyle w:val="Heading1"/>
      </w:pPr>
      <w:r>
        <w:t xml:space="preserve">Almaty Economic Consulting Group</w:t>
      </w:r>
    </w:p>
    <w:p>
      <w:pPr>
        <w:pStyle w:val="FirstParagraph"/>
      </w:pPr>
      <w:r>
        <w:t xml:space="preserve">128 Abay Avenue, Office 412</w:t>
      </w:r>
    </w:p>
    <w:p>
      <w:pPr>
        <w:pStyle w:val="BodyText"/>
      </w:pPr>
      <w:r>
        <w:t xml:space="preserve">Kazakhstan Almaty, 050040</w:t>
      </w:r>
    </w:p>
    <w:p>
      <w:pPr>
        <w:pStyle w:val="BodyText"/>
      </w:pPr>
      <w:r>
        <w:t xml:space="preserve">Tax ID (BIN): 990840012345</w:t>
      </w:r>
    </w:p>
    <w:p>
      <w:pPr>
        <w:pStyle w:val="BodyText"/>
      </w:pPr>
      <w:r>
        <w:t xml:space="preserve">Phone: +7 (727) 312-45-67</w:t>
      </w:r>
    </w:p>
    <w:p>
      <w:pPr>
        <w:pStyle w:val="BodyText"/>
      </w:pPr>
      <w:r>
        <w:t xml:space="preserve">Email: billing@almatyeco.kz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AECG-2025-00847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Tengri Industrial Holdings LLP</w:t>
      </w:r>
    </w:p>
    <w:p>
      <w:pPr>
        <w:pStyle w:val="BodyText"/>
      </w:pPr>
      <w:r>
        <w:t xml:space="preserve">Attn: Mr. Dauren Bekzhanov, CFO</w:t>
      </w:r>
    </w:p>
    <w:p>
      <w:pPr>
        <w:pStyle w:val="BodyText"/>
      </w:pPr>
      <w:r>
        <w:t xml:space="preserve">45 Dostyk Avenue, Floor 18</w:t>
      </w:r>
    </w:p>
    <w:p>
      <w:pPr>
        <w:pStyle w:val="BodyText"/>
      </w:pPr>
      <w:r>
        <w:t xml:space="preserve">Kazakhstan Almaty, 050000</w:t>
      </w:r>
    </w:p>
    <w:p>
      <w:pPr>
        <w:pStyle w:val="BodyText"/>
      </w:pPr>
      <w:r>
        <w:t xml:space="preserve">Tax ID (BIN): 990540067890</w:t>
      </w:r>
    </w:p>
    <w:p>
      <w:pPr>
        <w:pStyle w:val="BodyText"/>
      </w:pPr>
      <w:r>
        <w:t xml:space="preserve">Email: finance@tengri-industrial.kz</w:t>
      </w:r>
    </w:p>
    <w:bookmarkEnd w:id="22"/>
    <w:bookmarkStart w:id="23" w:name="prepared-by"/>
    <w:p>
      <w:pPr>
        <w:pStyle w:val="Heading3"/>
      </w:pPr>
      <w:r>
        <w:t xml:space="preserve">Prepared By</w:t>
      </w:r>
    </w:p>
    <w:p>
      <w:pPr>
        <w:pStyle w:val="FirstParagraph"/>
      </w:pPr>
      <w:r>
        <w:rPr>
          <w:bCs/>
          <w:b/>
        </w:rPr>
        <w:t xml:space="preserve">Dr. Aigerim Nurlanova</w:t>
      </w:r>
    </w:p>
    <w:p>
      <w:pPr>
        <w:pStyle w:val="BodyText"/>
      </w:pPr>
      <w:r>
        <w:t xml:space="preserve">Senior Economist, PhD in Macroeconomics</w:t>
      </w:r>
    </w:p>
    <w:p>
      <w:pPr>
        <w:pStyle w:val="BodyText"/>
      </w:pPr>
      <w:r>
        <w:t xml:space="preserve">Almaty Economic Consulting Group</w:t>
      </w:r>
    </w:p>
    <w:p>
      <w:pPr>
        <w:pStyle w:val="BodyText"/>
      </w:pPr>
      <w:r>
        <w:t xml:space="preserve">Kazakhstan Almaty, 050040</w:t>
      </w:r>
    </w:p>
    <w:p>
      <w:pPr>
        <w:pStyle w:val="BodyText"/>
      </w:pPr>
      <w:r>
        <w:t xml:space="preserve">Licence No.: KZ-ECON-2019-0042</w:t>
      </w:r>
    </w:p>
    <w:p>
      <w:pPr>
        <w:pStyle w:val="BodyText"/>
      </w:pPr>
      <w:r>
        <w:t xml:space="preserve">Email: a.nurlanova@almatyeco.kz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(KZT)</w:t>
            </w:r>
          </w:p>
        </w:tc>
        <w:tc>
          <w:tcPr/>
          <w:p>
            <w:pPr>
              <w:pStyle w:val="Compact"/>
              <w:jc w:val="left"/>
            </w:pPr>
            <w:r>
              <w:t xml:space="preserve">Hours</w:t>
            </w:r>
          </w:p>
        </w:tc>
        <w:tc>
          <w:tcPr/>
          <w:p>
            <w:pPr>
              <w:pStyle w:val="Compact"/>
              <w:jc w:val="left"/>
            </w:pPr>
            <w:r>
              <w:t xml:space="preserve">Amount (KZT)</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Macroeconomic analysis and forecasting for Kazakhstan Almaty regional market, including GDP projections, inflation modelling, and trade balance assessment for the upcoming fiscal year.</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c>
          <w:tcPr/>
          <w:p>
            <w:pPr>
              <w:pStyle w:val="Compact"/>
              <w:jc w:val="left"/>
            </w:pPr>
            <w:r>
              <w:t xml:space="preserve">129,600</w:t>
            </w:r>
          </w:p>
        </w:tc>
      </w:tr>
      <w:tr>
        <w:tc>
          <w:tcPr/>
          <w:p>
            <w:pPr>
              <w:pStyle w:val="Compact"/>
              <w:jc w:val="left"/>
            </w:pPr>
            <w:r>
              <w:t xml:space="preserve">2</w:t>
            </w:r>
          </w:p>
        </w:tc>
        <w:tc>
          <w:tcPr/>
          <w:p>
            <w:pPr>
              <w:pStyle w:val="Compact"/>
              <w:jc w:val="left"/>
            </w:pPr>
            <w:r>
              <w:t xml:space="preserve">Economist-led strategic advisory session on supply chain diversification, covering risk assessment for import dependencies and recommendations for local procurement within Kazakhstan Almaty industrial zones.</w:t>
            </w:r>
          </w:p>
        </w:tc>
        <w:tc>
          <w:tcPr/>
          <w:p>
            <w:pPr>
              <w:pStyle w:val="Compact"/>
              <w:jc w:val="left"/>
            </w:pPr>
            <w:r>
              <w:t xml:space="preserve">60,000</w:t>
            </w:r>
          </w:p>
        </w:tc>
        <w:tc>
          <w:tcPr/>
          <w:p>
            <w:pPr>
              <w:pStyle w:val="Compact"/>
              <w:jc w:val="left"/>
            </w:pPr>
            <w:r>
              <w:t xml:space="preserve">12</w:t>
            </w:r>
          </w:p>
        </w:tc>
        <w:tc>
          <w:tcPr/>
          <w:p>
            <w:pPr>
              <w:pStyle w:val="Compact"/>
              <w:jc w:val="left"/>
            </w:pPr>
            <w:r>
              <w:t xml:space="preserve">720,000</w:t>
            </w:r>
          </w:p>
        </w:tc>
        <w:tc>
          <w:tcPr/>
          <w:p>
            <w:pPr>
              <w:pStyle w:val="Compact"/>
              <w:jc w:val="left"/>
            </w:pPr>
            <w:r>
              <w:t xml:space="preserve">86,400</w:t>
            </w:r>
          </w:p>
        </w:tc>
      </w:tr>
      <w:tr>
        <w:tc>
          <w:tcPr/>
          <w:p>
            <w:pPr>
              <w:pStyle w:val="Compact"/>
              <w:jc w:val="left"/>
            </w:pPr>
            <w:r>
              <w:t xml:space="preserve">3</w:t>
            </w:r>
          </w:p>
        </w:tc>
        <w:tc>
          <w:tcPr/>
          <w:p>
            <w:pPr>
              <w:pStyle w:val="Compact"/>
              <w:jc w:val="left"/>
            </w:pPr>
            <w:r>
              <w:t xml:space="preserve">Preparation of a comprehensive economic impact report for the proposed expansion of Tengri Industrial Holdings into the Kazakhstan Almaty free trade zone, including employment modelling and tax incentive analysis.</w:t>
            </w:r>
          </w:p>
        </w:tc>
        <w:tc>
          <w:tcPr/>
          <w:p>
            <w:pPr>
              <w:pStyle w:val="Compact"/>
              <w:jc w:val="left"/>
            </w:pPr>
            <w:r>
              <w:t xml:space="preserve">55,000</w:t>
            </w:r>
          </w:p>
        </w:tc>
        <w:tc>
          <w:tcPr/>
          <w:p>
            <w:pPr>
              <w:pStyle w:val="Compact"/>
              <w:jc w:val="left"/>
            </w:pPr>
            <w:r>
              <w:t xml:space="preserve">32</w:t>
            </w:r>
          </w:p>
        </w:tc>
        <w:tc>
          <w:tcPr/>
          <w:p>
            <w:pPr>
              <w:pStyle w:val="Compact"/>
              <w:jc w:val="left"/>
            </w:pPr>
            <w:r>
              <w:t xml:space="preserve">1,760,000</w:t>
            </w:r>
          </w:p>
        </w:tc>
        <w:tc>
          <w:tcPr/>
          <w:p>
            <w:pPr>
              <w:pStyle w:val="Compact"/>
              <w:jc w:val="left"/>
            </w:pPr>
            <w:r>
              <w:t xml:space="preserve">211,200</w:t>
            </w:r>
          </w:p>
        </w:tc>
      </w:tr>
      <w:tr>
        <w:tc>
          <w:tcPr/>
          <w:p>
            <w:pPr>
              <w:pStyle w:val="Compact"/>
              <w:jc w:val="left"/>
            </w:pPr>
            <w:r>
              <w:t xml:space="preserve">4</w:t>
            </w:r>
          </w:p>
        </w:tc>
        <w:tc>
          <w:tcPr/>
          <w:p>
            <w:pPr>
              <w:pStyle w:val="Compact"/>
              <w:jc w:val="left"/>
            </w:pPr>
            <w:r>
              <w:t xml:space="preserve">Quarterly Economist briefing and presentation to the board of directors on currency exchange rate trends, Central Bank of Kazakhstan monetary policy implications, and their effect on corporate treasury operations.</w:t>
            </w:r>
          </w:p>
        </w:tc>
        <w:tc>
          <w:tcPr/>
          <w:p>
            <w:pPr>
              <w:pStyle w:val="Compact"/>
              <w:jc w:val="left"/>
            </w:pPr>
            <w:r>
              <w:t xml:space="preserve">50,000</w:t>
            </w:r>
          </w:p>
        </w:tc>
        <w:tc>
          <w:tcPr/>
          <w:p>
            <w:pPr>
              <w:pStyle w:val="Compact"/>
              <w:jc w:val="left"/>
            </w:pPr>
            <w:r>
              <w:t xml:space="preserve">8</w:t>
            </w:r>
          </w:p>
        </w:tc>
        <w:tc>
          <w:tcPr/>
          <w:p>
            <w:pPr>
              <w:pStyle w:val="Compact"/>
              <w:jc w:val="left"/>
            </w:pPr>
            <w:r>
              <w:t xml:space="preserve">400,000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On-site consultation at the Kazakhstan Almaty headquarters regarding workforce economics, wage structure optimisation, and labour market competitiveness benchmarking against regional peers.</w:t>
            </w:r>
          </w:p>
        </w:tc>
        <w:tc>
          <w:tcPr/>
          <w:p>
            <w:pPr>
              <w:pStyle w:val="Compact"/>
              <w:jc w:val="left"/>
            </w:pPr>
            <w:r>
              <w:t xml:space="preserve">48,000</w:t>
            </w:r>
          </w:p>
        </w:tc>
        <w:tc>
          <w:tcPr/>
          <w:p>
            <w:pPr>
              <w:pStyle w:val="Compact"/>
              <w:jc w:val="left"/>
            </w:pPr>
            <w:r>
              <w:t xml:space="preserve">16</w:t>
            </w:r>
          </w:p>
        </w:tc>
        <w:tc>
          <w:tcPr/>
          <w:p>
            <w:pPr>
              <w:pStyle w:val="Compact"/>
              <w:jc w:val="left"/>
            </w:pPr>
            <w:r>
              <w:t xml:space="preserve">768,000</w:t>
            </w:r>
          </w:p>
        </w:tc>
        <w:tc>
          <w:tcPr/>
          <w:p>
            <w:pPr>
              <w:pStyle w:val="Compact"/>
              <w:jc w:val="left"/>
            </w:pPr>
            <w:r>
              <w:t xml:space="preserve">92,160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(KZT)</w:t>
            </w:r>
          </w:p>
        </w:tc>
        <w:tc>
          <w:tcPr/>
          <w:p>
            <w:pPr>
              <w:pStyle w:val="Compact"/>
              <w:jc w:val="right"/>
            </w:pPr>
            <w:r>
              <w:t xml:space="preserve">4,728,000</w:t>
            </w:r>
          </w:p>
        </w:tc>
      </w:tr>
      <w:tr>
        <w:tc>
          <w:tcPr/>
          <w:p>
            <w:pPr>
              <w:pStyle w:val="Compact"/>
              <w:jc w:val="left"/>
            </w:pPr>
            <w:r>
              <w:t xml:space="preserve">VAT 12% (KZT)</w:t>
            </w:r>
          </w:p>
        </w:tc>
        <w:tc>
          <w:tcPr/>
          <w:p>
            <w:pPr>
              <w:pStyle w:val="Compact"/>
              <w:jc w:val="right"/>
            </w:pPr>
            <w:r>
              <w:t xml:space="preserve">567,360</w:t>
            </w:r>
          </w:p>
        </w:tc>
      </w:tr>
      <w:tr>
        <w:tc>
          <w:tcPr/>
          <w:p>
            <w:pPr>
              <w:pStyle w:val="Compact"/>
              <w:jc w:val="left"/>
            </w:pPr>
            <w:r>
              <w:t xml:space="preserve">Discount – Long-term Client (5%)</w:t>
            </w:r>
          </w:p>
        </w:tc>
        <w:tc>
          <w:tcPr/>
          <w:p>
            <w:pPr>
              <w:pStyle w:val="Compact"/>
              <w:jc w:val="right"/>
            </w:pPr>
            <w:r>
              <w:t xml:space="preserve">-236,400</w:t>
            </w:r>
          </w:p>
        </w:tc>
      </w:tr>
      <w:tr>
        <w:tc>
          <w:tcPr/>
          <w:p>
            <w:pPr>
              <w:pStyle w:val="Compact"/>
              <w:jc w:val="left"/>
            </w:pPr>
            <w:r>
              <w:t xml:space="preserve">TOTAL DUE (KZT)</w:t>
            </w:r>
          </w:p>
        </w:tc>
        <w:tc>
          <w:tcPr/>
          <w:p>
            <w:pPr>
              <w:pStyle w:val="Compact"/>
              <w:jc w:val="right"/>
            </w:pPr>
            <w:r>
              <w:t xml:space="preserve">5,058,960</w:t>
            </w:r>
          </w:p>
        </w:tc>
      </w:tr>
      <w:tr>
        <w:tc>
          <w:tcPr>
            <w:gridSpan w:val="2"/>
          </w:tcPr>
          <w:p>
            <w:pPr>
              <w:pStyle w:val="Compact"/>
              <w:jc w:val="left"/>
            </w:pPr>
            <w:r>
              <w:t xml:space="preserve">Amount in words: Five million fifty-eight thousand nine hundred sixty ten tenge only.</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no later than July 15, 2025. Payment is to be made in Kazakhstani Tenge (KZT) via bank transfer to the account below. Late payments are subject to a penalty of 0.1% per calendar day as stipulated under the Civil Code of the Republic of Kazakhstan.</w:t>
      </w:r>
    </w:p>
    <w:p>
      <w:pPr>
        <w:pStyle w:val="BodyText"/>
      </w:pPr>
      <w:r>
        <w:rPr>
          <w:bCs/>
          <w:b/>
        </w:rPr>
        <w:t xml:space="preserve">Bank:</w:t>
      </w:r>
      <w:r>
        <w:t xml:space="preserve"> </w:t>
      </w:r>
      <w:r>
        <w:t xml:space="preserve">Jusan International JSC</w:t>
      </w:r>
    </w:p>
    <w:p>
      <w:pPr>
        <w:pStyle w:val="BodyText"/>
      </w:pPr>
      <w:r>
        <w:rPr>
          <w:bCs/>
          <w:b/>
        </w:rPr>
        <w:t xml:space="preserve">IBAN:</w:t>
      </w:r>
      <w:r>
        <w:t xml:space="preserve"> </w:t>
      </w:r>
      <w:r>
        <w:t xml:space="preserve">KZ85 9900 0000 0000 0000 0000</w:t>
      </w:r>
    </w:p>
    <w:p>
      <w:pPr>
        <w:pStyle w:val="BodyText"/>
      </w:pPr>
      <w:r>
        <w:rPr>
          <w:bCs/>
          <w:b/>
        </w:rPr>
        <w:t xml:space="preserve">Account Name:</w:t>
      </w:r>
      <w:r>
        <w:t xml:space="preserve"> </w:t>
      </w:r>
      <w:r>
        <w:t xml:space="preserve">Almaty Economic Consulting Group LLP</w:t>
      </w:r>
    </w:p>
    <w:p>
      <w:pPr>
        <w:pStyle w:val="BodyText"/>
      </w:pPr>
      <w:r>
        <w:rPr>
          <w:bCs/>
          <w:b/>
        </w:rPr>
        <w:t xml:space="preserve">Reference:</w:t>
      </w:r>
      <w:r>
        <w:t xml:space="preserve"> </w:t>
      </w:r>
      <w:r>
        <w:t xml:space="preserve">AECG-2025-00847</w:t>
      </w:r>
    </w:p>
    <w:p>
      <w:pPr>
        <w:pStyle w:val="BodyText"/>
      </w:pPr>
      <w:r>
        <w:t xml:space="preserve">Please ensure that the Invoice number is clearly stated in the payment reference to facilitate accurate reconciliation of this transaction.</w:t>
      </w:r>
    </w:p>
    <w:bookmarkEnd w:id="24"/>
    <w:bookmarkStart w:id="25" w:name="important-notes-regarding-this-invoice"/>
    <w:p>
      <w:pPr>
        <w:pStyle w:val="Heading3"/>
      </w:pPr>
      <w:r>
        <w:t xml:space="preserve">Important Notes Regarding This Invoice</w:t>
      </w:r>
    </w:p>
    <w:p>
      <w:pPr>
        <w:pStyle w:val="FirstParagraph"/>
      </w:pPr>
      <w:r>
        <w:t xml:space="preserve">1. All services rendered by the Economist, Dr. Aigerim Nurlanova, were conducted in compliance with the professional standards set forth by the Kazakhstan Association of Professional Economists and the regulatory framework of the Ministry of Finance of the Republic of Kazakhstan.</w:t>
      </w:r>
    </w:p>
    <w:p>
      <w:pPr>
        <w:pStyle w:val="BodyText"/>
      </w:pPr>
      <w:r>
        <w:t xml:space="preserve">2. The economic data, forecasts, and analytical models referenced in this Invoice were compiled using verified sources from the Bureau of National Statistics of Kazakhstan, the National Bank of Kazakhstan, and the Kazakhstan Almaty Chamber of Commerce and Industry.</w:t>
      </w:r>
    </w:p>
    <w:p>
      <w:pPr>
        <w:pStyle w:val="BodyText"/>
      </w:pPr>
      <w:r>
        <w:t xml:space="preserve">3. This Invoice constitutes a legally binding document under the Tax Code of the Republic of Kazakhstan. A duplicate copy may be requested by contacting the billing department at billing@almatyeco.kz. The original signed Invoice must be retained for a minimum of five (5) years in accordance with Kazakhstani record-keeping regulations.</w:t>
      </w:r>
    </w:p>
    <w:p>
      <w:pPr>
        <w:pStyle w:val="BodyText"/>
      </w:pPr>
      <w:r>
        <w:t xml:space="preserve">4. Any disputes arising from this Invoice shall be resolved through the Arbitration Court of Kazakhstan Almaty in accordance with the applicable commercial arbitration rules.</w:t>
      </w:r>
    </w:p>
    <w:p>
      <w:pPr>
        <w:pStyle w:val="BodyText"/>
      </w:pPr>
      <w:r>
        <w:t xml:space="preserve">5. The Economist's professional liability insurance (Policy No. KZ-INS-2025-1187) covers all advisory services described herein. A certificate of insurance is available upon written request.</w:t>
      </w:r>
    </w:p>
    <w:bookmarkEnd w:id="25"/>
    <w:p>
      <w:pPr>
        <w:pStyle w:val="BodyText"/>
      </w:pPr>
      <w:r>
        <w:rPr>
          <w:bCs/>
          <w:b/>
        </w:rPr>
        <w:t xml:space="preserve">Prepared and Issued By:</w:t>
      </w:r>
      <w:r>
        <w:br/>
      </w:r>
      <w:r>
        <w:t xml:space="preserve">Dr. Aigerim Nurlanova</w:t>
      </w:r>
      <w:r>
        <w:br/>
      </w:r>
      <w:r>
        <w:t xml:space="preserve">Senior Economist</w:t>
      </w:r>
      <w:r>
        <w:br/>
      </w:r>
      <w:r>
        <w:t xml:space="preserve">Almaty Economic Consulting Group</w:t>
      </w:r>
      <w:r>
        <w:br/>
      </w:r>
      <w:r>
        <w:t xml:space="preserve">Kazakhstan Almaty</w:t>
      </w:r>
    </w:p>
    <w:p>
      <w:pPr>
        <w:pStyle w:val="BodyText"/>
      </w:pPr>
      <w:r>
        <w:rPr>
          <w:bCs/>
          <w:b/>
        </w:rPr>
        <w:t xml:space="preserve">Received and Acknowledged By:</w:t>
      </w:r>
      <w:r>
        <w:br/>
      </w:r>
      <w:r>
        <w:t xml:space="preserve">Mr. Dauren Bekzhanov</w:t>
      </w:r>
      <w:r>
        <w:br/>
      </w:r>
      <w:r>
        <w:t xml:space="preserve">Chief Financial Officer</w:t>
      </w:r>
      <w:r>
        <w:br/>
      </w:r>
      <w:r>
        <w:t xml:space="preserve">Tengri Industrial Holdings LLP</w:t>
      </w:r>
      <w:r>
        <w:br/>
      </w:r>
      <w:r>
        <w:t xml:space="preserve">Kazakhstan Almaty</w:t>
      </w:r>
    </w:p>
    <w:p>
      <w:pPr>
        <w:pStyle w:val="BodyText"/>
      </w:pPr>
      <w:r>
        <w:rPr>
          <w:bCs/>
          <w:b/>
        </w:rPr>
        <w:t xml:space="preserve">Almaty Economic Consulting Group LLP</w:t>
      </w:r>
      <w:r>
        <w:t xml:space="preserve"> </w:t>
      </w:r>
      <w:r>
        <w:t xml:space="preserve">| 128 Abay Avenue, Office 412, Kazakhstan Almaty, 050040</w:t>
      </w:r>
    </w:p>
    <w:p>
      <w:pPr>
        <w:pStyle w:val="BodyText"/>
      </w:pPr>
      <w:r>
        <w:t xml:space="preserve">Registered with the Ministry of Justice of the Republic of Kazakhstan | Licence: KZ-ECON-2019-0042</w:t>
      </w:r>
    </w:p>
    <w:p>
      <w:pPr>
        <w:pStyle w:val="BodyText"/>
      </w:pPr>
      <w:r>
        <w:t xml:space="preserve">This Invoice was generated electronically and is valid without a physical stamp or signature in accordance with the Law of the Republic of Kazakhstan "On Electronic Documents and Electronic Interactions."</w:t>
      </w:r>
    </w:p>
    <w:p>
      <w:pPr>
        <w:pStyle w:val="BodyText"/>
      </w:pPr>
      <w:r>
        <w:t xml:space="preserve">Invoice AECG-2025-00847 | Page 1 of 1 | Generated: June 15, 2025, 14:32 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Kazakhstan Almaty</dc:title>
  <dc:creator/>
  <dc:language>en</dc:language>
  <cp:keywords/>
  <dcterms:created xsi:type="dcterms:W3CDTF">2026-10-10T03:52:19Z</dcterms:created>
  <dcterms:modified xsi:type="dcterms:W3CDTF">2026-10-10T03:52:19Z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