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The</w:t>
      </w:r>
      <w:r>
        <w:t xml:space="preserve"> </w:t>
      </w:r>
      <w:r>
        <w:t xml:space="preserve">Economist</w:t>
      </w:r>
      <w:r>
        <w:t xml:space="preserve"> </w:t>
      </w:r>
      <w:r>
        <w:t xml:space="preserve">Subscription</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the-economist-group"/>
    <w:p>
      <w:pPr>
        <w:pStyle w:val="Heading1"/>
      </w:pPr>
      <w:r>
        <w:t xml:space="preserve">The Economist Group</w:t>
      </w:r>
    </w:p>
    <w:p>
      <w:pPr>
        <w:pStyle w:val="FirstParagraph"/>
      </w:pPr>
      <w:r>
        <w:t xml:space="preserve">Subscription &amp; Digital Services Division</w:t>
      </w:r>
    </w:p>
    <w:p>
      <w:pPr>
        <w:pStyle w:val="BodyText"/>
      </w:pPr>
      <w:r>
        <w:t xml:space="preserve">25 St James's Street, London SW1Y 4HU, United Kingdom</w:t>
      </w:r>
    </w:p>
    <w:p>
      <w:pPr>
        <w:pStyle w:val="BodyText"/>
      </w:pPr>
      <w:r>
        <w:t xml:space="preserve">Registered in England No. 00000000</w:t>
      </w:r>
    </w:p>
    <w:p>
      <w:pPr>
        <w:pStyle w:val="BodyText"/>
      </w:pPr>
      <w:r>
        <w:t xml:space="preserve">VAT Registration: GB 000 0000 00</w:t>
      </w:r>
    </w:p>
    <w:p>
      <w:pPr>
        <w:pStyle w:val="BodyText"/>
      </w:pPr>
      <w:r>
        <w:t xml:space="preserve">Email: subscriptions@economist.com</w:t>
      </w:r>
    </w:p>
    <w:p>
      <w:pPr>
        <w:pStyle w:val="BodyText"/>
      </w:pPr>
      <w:r>
        <w:t xml:space="preserve">Phone: +44 (0)20 7565 1800</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ECO-MY-2025-004872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July 2025 – 30 June 2026</w:t>
      </w:r>
    </w:p>
    <w:p>
      <w:pPr>
        <w:pStyle w:val="BodyText"/>
      </w:pPr>
      <w:r>
        <w:t xml:space="preserve">Pending Payment</w:t>
      </w:r>
    </w:p>
    <w:bookmarkEnd w:id="21"/>
    <w:bookmarkStart w:id="22" w:name="bill-to"/>
    <w:p>
      <w:pPr>
        <w:pStyle w:val="Heading3"/>
      </w:pPr>
      <w:r>
        <w:t xml:space="preserve">Bill To</w:t>
      </w:r>
    </w:p>
    <w:p>
      <w:pPr>
        <w:pStyle w:val="FirstParagraph"/>
      </w:pPr>
      <w:r>
        <w:rPr>
          <w:bCs/>
          <w:b/>
        </w:rPr>
        <w:t xml:space="preserve">Meridian Corporate Solutions Sdn. Bhd.</w:t>
      </w:r>
    </w:p>
    <w:p>
      <w:pPr>
        <w:pStyle w:val="BodyText"/>
      </w:pPr>
      <w:r>
        <w:t xml:space="preserve">Level 28, Menara Maxis</w:t>
      </w:r>
    </w:p>
    <w:p>
      <w:pPr>
        <w:pStyle w:val="BodyText"/>
      </w:pPr>
      <w:r>
        <w:t xml:space="preserve">Jalan Tun Razak, 50400</w:t>
      </w:r>
    </w:p>
    <w:p>
      <w:pPr>
        <w:pStyle w:val="BodyText"/>
      </w:pPr>
      <w:r>
        <w:rPr>
          <w:bCs/>
          <w:b/>
        </w:rPr>
        <w:t xml:space="preserve">Malaysia Kuala Lumpur</w:t>
      </w:r>
    </w:p>
    <w:p>
      <w:pPr>
        <w:pStyle w:val="BodyText"/>
      </w:pPr>
      <w:r>
        <w:t xml:space="preserve">Malaysia</w:t>
      </w:r>
    </w:p>
    <w:p>
      <w:pPr>
        <w:pStyle w:val="BodyText"/>
      </w:pPr>
      <w:r>
        <w:t xml:space="preserve">Company Reg. No: 201901045678</w:t>
      </w:r>
    </w:p>
    <w:p>
      <w:pPr>
        <w:pStyle w:val="BodyText"/>
      </w:pPr>
      <w:r>
        <w:t xml:space="preserve">SST Registration: 000000000000</w:t>
      </w:r>
    </w:p>
    <w:p>
      <w:pPr>
        <w:pStyle w:val="BodyText"/>
      </w:pPr>
      <w:r>
        <w:t xml:space="preserve">Attn: Mr. Tan Wei Ming, Chief Financial Officer</w:t>
      </w:r>
    </w:p>
    <w:p>
      <w:pPr>
        <w:pStyle w:val="BodyText"/>
      </w:pPr>
      <w:r>
        <w:t xml:space="preserve">Email: finance@meridiancorp.my</w:t>
      </w:r>
    </w:p>
    <w:bookmarkEnd w:id="22"/>
    <w:bookmarkStart w:id="23" w:name="ship-to-delivery"/>
    <w:p>
      <w:pPr>
        <w:pStyle w:val="Heading3"/>
      </w:pPr>
      <w:r>
        <w:t xml:space="preserve">Ship To / Delivery</w:t>
      </w:r>
    </w:p>
    <w:p>
      <w:pPr>
        <w:pStyle w:val="FirstParagraph"/>
      </w:pPr>
      <w:r>
        <w:rPr>
          <w:bCs/>
          <w:b/>
        </w:rPr>
        <w:t xml:space="preserve">Meridian Corporate Solutions Sdn. Bhd.</w:t>
      </w:r>
    </w:p>
    <w:p>
      <w:pPr>
        <w:pStyle w:val="BodyText"/>
      </w:pPr>
      <w:r>
        <w:t xml:space="preserve">Level 28, Menara Maxis</w:t>
      </w:r>
    </w:p>
    <w:p>
      <w:pPr>
        <w:pStyle w:val="BodyText"/>
      </w:pPr>
      <w:r>
        <w:t xml:space="preserve">Jalan Tun Razak, 50400</w:t>
      </w:r>
    </w:p>
    <w:p>
      <w:pPr>
        <w:pStyle w:val="BodyText"/>
      </w:pPr>
      <w:r>
        <w:rPr>
          <w:bCs/>
          <w:b/>
        </w:rPr>
        <w:t xml:space="preserve">Malaysia Kuala Lumpur</w:t>
      </w:r>
    </w:p>
    <w:p>
      <w:pPr>
        <w:pStyle w:val="BodyText"/>
      </w:pPr>
      <w:r>
        <w:t xml:space="preserve">Malaysia</w:t>
      </w:r>
    </w:p>
    <w:p>
      <w:pPr>
        <w:pStyle w:val="BodyText"/>
      </w:pPr>
      <w:r>
        <w:t xml:space="preserve">Attn: Ms. Lim Siew Lan, Head of Research</w:t>
      </w:r>
    </w:p>
    <w:p>
      <w:pPr>
        <w:pStyle w:val="BodyText"/>
      </w:pPr>
      <w:r>
        <w:t xml:space="preserve">Phone: +60 3-2181 8888</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(MYR)</w:t>
            </w:r>
          </w:p>
        </w:tc>
        <w:tc>
          <w:tcPr/>
          <w:p>
            <w:pPr>
              <w:pStyle w:val="Compact"/>
              <w:jc w:val="left"/>
            </w:pPr>
            <w:r>
              <w:t xml:space="preserve">Amount (MYR)</w:t>
            </w:r>
          </w:p>
        </w:tc>
        <w:tc>
          <w:tcPr/>
          <w:p>
            <w:pPr>
              <w:pStyle w:val="Compact"/>
              <w:jc w:val="left"/>
            </w:pPr>
            <w:r>
              <w:t xml:space="preserve">SST %</w:t>
            </w:r>
          </w:p>
        </w:tc>
      </w:tr>
      <w:tr>
        <w:tc>
          <w:tcPr/>
          <w:p>
            <w:pPr>
              <w:pStyle w:val="Compact"/>
              <w:jc w:val="left"/>
            </w:pPr>
            <w:r>
              <w:t xml:space="preserve">01</w:t>
            </w:r>
          </w:p>
        </w:tc>
        <w:tc>
          <w:tcPr/>
          <w:p>
            <w:pPr>
              <w:pStyle w:val="Compact"/>
              <w:jc w:val="left"/>
            </w:pPr>
            <w:r>
              <w:t xml:space="preserve">The Economist – Annual Digital Subscription (Premium Tier) for 25 corporate users. Includes full access to The Economist digital platform, weekly print edition delivered to the Malaysia Kuala Lumpur office, and access to The Economist Intelligence Unit (EIU) country risk reports for Southeast Asia.</w:t>
            </w:r>
          </w:p>
        </w:tc>
        <w:tc>
          <w:tcPr/>
          <w:p>
            <w:pPr>
              <w:pStyle w:val="Compact"/>
              <w:jc w:val="left"/>
            </w:pPr>
            <w:r>
              <w:t xml:space="preserve">25</w:t>
            </w:r>
          </w:p>
        </w:tc>
        <w:tc>
          <w:tcPr/>
          <w:p>
            <w:pPr>
              <w:pStyle w:val="Compact"/>
              <w:jc w:val="left"/>
            </w:pPr>
            <w:r>
              <w:t xml:space="preserve">1,850.00</w:t>
            </w:r>
          </w:p>
        </w:tc>
        <w:tc>
          <w:tcPr/>
          <w:p>
            <w:pPr>
              <w:pStyle w:val="Compact"/>
              <w:jc w:val="left"/>
            </w:pPr>
            <w:r>
              <w:t xml:space="preserve">46,250.00</w:t>
            </w:r>
          </w:p>
        </w:tc>
        <w:tc>
          <w:tcPr/>
          <w:p>
            <w:pPr>
              <w:pStyle w:val="Compact"/>
              <w:jc w:val="left"/>
            </w:pPr>
            <w:r>
              <w:t xml:space="preserve">6%</w:t>
            </w:r>
          </w:p>
        </w:tc>
      </w:tr>
      <w:tr>
        <w:tc>
          <w:tcPr/>
          <w:p>
            <w:pPr>
              <w:pStyle w:val="Compact"/>
              <w:jc w:val="left"/>
            </w:pPr>
            <w:r>
              <w:t xml:space="preserve">02</w:t>
            </w:r>
          </w:p>
        </w:tc>
        <w:tc>
          <w:tcPr/>
          <w:p>
            <w:pPr>
              <w:pStyle w:val="Compact"/>
              <w:jc w:val="left"/>
            </w:pPr>
            <w:r>
              <w:t xml:space="preserve">The Economist – Quarterly Print Bundle (4 issues per quarter, 16 issues annually). Premium hardcover editions of The Economist delivered bi-weekly to the registered address in Malaysia Kuala Lumpur. Includes special annual review edition and financial supplement.</w:t>
            </w:r>
          </w:p>
        </w:tc>
        <w:tc>
          <w:tcPr/>
          <w:p>
            <w:pPr>
              <w:pStyle w:val="Compact"/>
              <w:jc w:val="left"/>
            </w:pPr>
            <w:r>
              <w:t xml:space="preserve">4</w:t>
            </w:r>
          </w:p>
        </w:tc>
        <w:tc>
          <w:tcPr/>
          <w:p>
            <w:pPr>
              <w:pStyle w:val="Compact"/>
              <w:jc w:val="left"/>
            </w:pPr>
            <w:r>
              <w:t xml:space="preserve">1,200.00</w:t>
            </w:r>
          </w:p>
        </w:tc>
        <w:tc>
          <w:tcPr/>
          <w:p>
            <w:pPr>
              <w:pStyle w:val="Compact"/>
              <w:jc w:val="left"/>
            </w:pPr>
            <w:r>
              <w:t xml:space="preserve">4,800.00</w:t>
            </w:r>
          </w:p>
        </w:tc>
        <w:tc>
          <w:tcPr/>
          <w:p>
            <w:pPr>
              <w:pStyle w:val="Compact"/>
              <w:jc w:val="left"/>
            </w:pPr>
            <w:r>
              <w:t xml:space="preserve">6%</w:t>
            </w:r>
          </w:p>
        </w:tc>
      </w:tr>
      <w:tr>
        <w:tc>
          <w:tcPr/>
          <w:p>
            <w:pPr>
              <w:pStyle w:val="Compact"/>
              <w:jc w:val="left"/>
            </w:pPr>
            <w:r>
              <w:t xml:space="preserve">03</w:t>
            </w:r>
          </w:p>
        </w:tc>
        <w:tc>
          <w:tcPr/>
          <w:p>
            <w:pPr>
              <w:pStyle w:val="Compact"/>
              <w:jc w:val="left"/>
            </w:pPr>
            <w:r>
              <w:t xml:space="preserve">The Economist Intelligence Unit (EIU) – Malaysia &amp; ASEAN Economic Outlook Report (2025–2026). Comprehensive 320-page analytical report covering macroeconomic indicators, trade policy analysis, and investment climate assessment specific to Malaysia Kuala Lumpur and the broader ASEAN region.</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c>
          <w:tcPr/>
          <w:p>
            <w:pPr>
              <w:pStyle w:val="Compact"/>
              <w:jc w:val="left"/>
            </w:pPr>
            <w:r>
              <w:t xml:space="preserve">6%</w:t>
            </w:r>
          </w:p>
        </w:tc>
      </w:tr>
      <w:tr>
        <w:tc>
          <w:tcPr/>
          <w:p>
            <w:pPr>
              <w:pStyle w:val="Compact"/>
              <w:jc w:val="left"/>
            </w:pPr>
            <w:r>
              <w:t xml:space="preserve">04</w:t>
            </w:r>
          </w:p>
        </w:tc>
        <w:tc>
          <w:tcPr/>
          <w:p>
            <w:pPr>
              <w:pStyle w:val="Compact"/>
              <w:jc w:val="left"/>
            </w:pPr>
            <w:r>
              <w:t xml:space="preserve">The Economist – Corporate Event Access Pass. Admission for 10 delegates to The Economist Annual Global Business Summit 2025 (held virtually with a dedicated viewing and networking session arranged for the Malaysia Kuala Lumpur office). Includes pre-summit briefing materials and post-event digital recordings.</w:t>
            </w:r>
          </w:p>
        </w:tc>
        <w:tc>
          <w:tcPr/>
          <w:p>
            <w:pPr>
              <w:pStyle w:val="Compact"/>
              <w:jc w:val="left"/>
            </w:pPr>
            <w:r>
              <w:t xml:space="preserve">10</w:t>
            </w:r>
          </w:p>
        </w:tc>
        <w:tc>
          <w:tcPr/>
          <w:p>
            <w:pPr>
              <w:pStyle w:val="Compact"/>
              <w:jc w:val="left"/>
            </w:pPr>
            <w:r>
              <w:t xml:space="preserve">2,400.00</w:t>
            </w:r>
          </w:p>
        </w:tc>
        <w:tc>
          <w:tcPr/>
          <w:p>
            <w:pPr>
              <w:pStyle w:val="Compact"/>
              <w:jc w:val="left"/>
            </w:pPr>
            <w:r>
              <w:t xml:space="preserve">24,000.00</w:t>
            </w:r>
          </w:p>
        </w:tc>
        <w:tc>
          <w:tcPr/>
          <w:p>
            <w:pPr>
              <w:pStyle w:val="Compact"/>
              <w:jc w:val="left"/>
            </w:pPr>
            <w:r>
              <w:t xml:space="preserve">6%</w:t>
            </w:r>
          </w:p>
        </w:tc>
      </w:tr>
      <w:tr>
        <w:tc>
          <w:tcPr/>
          <w:p>
            <w:pPr>
              <w:pStyle w:val="Compact"/>
              <w:jc w:val="left"/>
            </w:pPr>
            <w:r>
              <w:t xml:space="preserve">05</w:t>
            </w:r>
          </w:p>
        </w:tc>
        <w:tc>
          <w:tcPr/>
          <w:p>
            <w:pPr>
              <w:pStyle w:val="Compact"/>
              <w:jc w:val="left"/>
            </w:pPr>
            <w:r>
              <w:t xml:space="preserve">The Economist – Onboarding &amp; Platform Configuration Service. One-time setup fee for configuring The Economist digital platform access for all 25 corporate users, including single sign-on integration, role-based access permissions, and training session conducted virtually for the Malaysia Kuala Lumpur team.</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c>
          <w:tcPr/>
          <w:p>
            <w:pPr>
              <w:pStyle w:val="Compact"/>
              <w:jc w:val="left"/>
            </w:pPr>
            <w:r>
              <w:t xml:space="preserve">6%</w:t>
            </w:r>
          </w:p>
        </w:tc>
      </w:tr>
      <w:tr>
        <w:tc>
          <w:tcPr/>
          <w:p>
            <w:pPr>
              <w:pStyle w:val="Compact"/>
              <w:jc w:val="left"/>
            </w:pPr>
            <w:r>
              <w:t xml:space="preserve">06</w:t>
            </w:r>
          </w:p>
        </w:tc>
        <w:tc>
          <w:tcPr/>
          <w:p>
            <w:pPr>
              <w:pStyle w:val="Compact"/>
              <w:jc w:val="left"/>
            </w:pPr>
            <w:r>
              <w:t xml:space="preserve">The Economist – International Courier &amp; Customs Clearance. Shipping and import duty facilitation charges for physical print editions and the EIU report delivered from the United Kingdom to the recipient address in Malaysia Kuala Lumpur. Includes all applicable customs documentation and handling fees.</w:t>
            </w:r>
          </w:p>
        </w:tc>
        <w:tc>
          <w:tcPr/>
          <w:p>
            <w:pPr>
              <w:pStyle w:val="Compact"/>
              <w:jc w:val="left"/>
            </w:pPr>
            <w:r>
              <w:t xml:space="preserve">1</w:t>
            </w:r>
          </w:p>
        </w:tc>
        <w:tc>
          <w:tcPr/>
          <w:p>
            <w:pPr>
              <w:pStyle w:val="Compact"/>
              <w:jc w:val="left"/>
            </w:pPr>
            <w:r>
              <w:t xml:space="preserve">1,450.00</w:t>
            </w:r>
          </w:p>
        </w:tc>
        <w:tc>
          <w:tcPr/>
          <w:p>
            <w:pPr>
              <w:pStyle w:val="Compact"/>
              <w:jc w:val="left"/>
            </w:pPr>
            <w:r>
              <w:t xml:space="preserve">1,450.00</w:t>
            </w:r>
          </w:p>
        </w:tc>
        <w:tc>
          <w:tcPr/>
          <w:p>
            <w:pPr>
              <w:pStyle w:val="Compact"/>
              <w:jc w:val="left"/>
            </w:pPr>
            <w:r>
              <w:t xml:space="preserve">0%</w:t>
            </w:r>
          </w:p>
        </w:tc>
      </w:tr>
    </w:tbl>
    <w:tbl>
      <w:tblPr>
        <w:tblStyle w:val="Table"/>
        <w:tblW w:type="auto" w:w="0"/>
        <w:tblLook w:firstRow="1" w:lastRow="0" w:firstColumn="0" w:lastColumn="0" w:noHBand="0" w:noVBand="0" w:val="0020"/>
      </w:tblPr>
      <w:tblGrid>
        <w:gridCol w:w="3960"/>
        <w:gridCol w:w="3960"/>
      </w:tblGrid>
      <w:tr>
        <w:trPr>
          <w:tblHeader w:val="true"/>
        </w:trPr>
        <w:tc>
          <w:tcPr>
            <w:gridSpan w:val="2"/>
          </w:tcPr>
          <w:p>
            <w:pPr>
              <w:pStyle w:val="Compact"/>
              <w:jc w:val="left"/>
            </w:pPr>
            <w:r>
              <w:t xml:space="preserve">Invoice Summary</w:t>
            </w:r>
          </w:p>
        </w:tc>
      </w:tr>
      <w:tr>
        <w:tc>
          <w:tcPr/>
          <w:p>
            <w:pPr>
              <w:pStyle w:val="Compact"/>
              <w:jc w:val="left"/>
            </w:pPr>
            <w:r>
              <w:t xml:space="preserve">Subtotal (MYR)</w:t>
            </w:r>
          </w:p>
        </w:tc>
        <w:tc>
          <w:tcPr/>
          <w:p>
            <w:pPr>
              <w:pStyle w:val="Compact"/>
              <w:jc w:val="left"/>
            </w:pPr>
            <w:r>
              <w:t xml:space="preserve">88,200.00</w:t>
            </w:r>
          </w:p>
        </w:tc>
      </w:tr>
      <w:tr>
        <w:tc>
          <w:tcPr/>
          <w:p>
            <w:pPr>
              <w:pStyle w:val="Compact"/>
              <w:jc w:val="left"/>
            </w:pPr>
            <w:r>
              <w:t xml:space="preserve">Sales &amp; Service Tax (SST) @ 6%</w:t>
            </w:r>
          </w:p>
        </w:tc>
        <w:tc>
          <w:tcPr/>
          <w:p>
            <w:pPr>
              <w:pStyle w:val="Compact"/>
              <w:jc w:val="left"/>
            </w:pPr>
            <w:r>
              <w:t xml:space="preserve">5,292.00</w:t>
            </w:r>
          </w:p>
        </w:tc>
      </w:tr>
      <w:tr>
        <w:tc>
          <w:tcPr/>
          <w:p>
            <w:pPr>
              <w:pStyle w:val="Compact"/>
              <w:jc w:val="left"/>
            </w:pPr>
            <w:r>
              <w:t xml:space="preserve">Import Duty &amp; Handling (Malaysia)</w:t>
            </w:r>
          </w:p>
        </w:tc>
        <w:tc>
          <w:tcPr/>
          <w:p>
            <w:pPr>
              <w:pStyle w:val="Compact"/>
              <w:jc w:val="left"/>
            </w:pPr>
            <w:r>
              <w:t xml:space="preserve">0.00</w:t>
            </w:r>
          </w:p>
        </w:tc>
      </w:tr>
      <w:tr>
        <w:tc>
          <w:tcPr/>
          <w:p>
            <w:pPr>
              <w:pStyle w:val="Compact"/>
              <w:jc w:val="left"/>
            </w:pPr>
            <w:r>
              <w:t xml:space="preserve">Early Payment Discount (2% if paid before 20 June 2025)</w:t>
            </w:r>
          </w:p>
        </w:tc>
        <w:tc>
          <w:tcPr/>
          <w:p>
            <w:pPr>
              <w:pStyle w:val="Compact"/>
              <w:jc w:val="left"/>
            </w:pPr>
            <w:r>
              <w:t xml:space="preserve">(1,764.00)</w:t>
            </w:r>
          </w:p>
        </w:tc>
      </w:tr>
      <w:tr>
        <w:tc>
          <w:tcPr/>
          <w:p>
            <w:pPr>
              <w:pStyle w:val="Compact"/>
              <w:jc w:val="left"/>
            </w:pPr>
            <w:r>
              <w:t xml:space="preserve">TOTAL DUE (MYR)</w:t>
            </w:r>
          </w:p>
        </w:tc>
        <w:tc>
          <w:tcPr/>
          <w:p>
            <w:pPr>
              <w:pStyle w:val="Compact"/>
              <w:jc w:val="left"/>
            </w:pPr>
            <w:r>
              <w:t xml:space="preserve">91,728.00</w:t>
            </w:r>
          </w:p>
        </w:tc>
      </w:tr>
    </w:tbl>
    <w:bookmarkStart w:id="24" w:name="payment-instructions"/>
    <w:p>
      <w:pPr>
        <w:pStyle w:val="Heading3"/>
      </w:pPr>
      <w:r>
        <w:t xml:space="preserve">Payment Instructions</w:t>
      </w:r>
    </w:p>
    <w:p>
      <w:pPr>
        <w:pStyle w:val="FirstParagraph"/>
      </w:pPr>
      <w:r>
        <w:rPr>
          <w:bCs/>
          <w:b/>
        </w:rPr>
        <w:t xml:space="preserve">Bank Transfer (MYR):</w:t>
      </w:r>
      <w:r>
        <w:t xml:space="preserve"> </w:t>
      </w:r>
      <w:r>
        <w:t xml:space="preserve">Bank of America N.A., London Branch | Account Name: The Economist Group Ltd | Sort Code: 40-05-57 | Account No: 51234567 | IBAN: GB29 BAOB 4005 5751 2345 67 | SWIFT: BOFSG33XXX</w:t>
      </w:r>
    </w:p>
    <w:p>
      <w:pPr>
        <w:pStyle w:val="BodyText"/>
      </w:pPr>
      <w:r>
        <w:rPr>
          <w:bCs/>
          <w:b/>
        </w:rPr>
        <w:t xml:space="preserve">Bank Transfer (USD equivalent):</w:t>
      </w:r>
      <w:r>
        <w:t xml:space="preserve"> </w:t>
      </w:r>
      <w:r>
        <w:t xml:space="preserve">Please reference Invoice No. ECO-MY-2025-004872 in all remittances. For payments originating from Malaysia Kuala Lumpur, please note that the exchange rate will be applied at the Bank of America's prevailing rate on the date of receipt.</w:t>
      </w:r>
    </w:p>
    <w:p>
      <w:pPr>
        <w:pStyle w:val="BodyText"/>
      </w:pPr>
      <w:r>
        <w:rPr>
          <w:bCs/>
          <w:b/>
        </w:rPr>
        <w:t xml:space="preserve">Payment Terms:</w:t>
      </w:r>
      <w:r>
        <w:t xml:space="preserve"> </w:t>
      </w:r>
      <w:r>
        <w:t xml:space="preserve">Net 15 days from the date of this Invoice. Late payments are subject to a penalty of 1.5% per month as per the subscription agreement. All payments must be received by the Due Date stated above to avoid interruption of The Economist services.</w:t>
      </w:r>
    </w:p>
    <w:bookmarkEnd w:id="24"/>
    <w:bookmarkStart w:id="25" w:name="notes-terms"/>
    <w:p>
      <w:pPr>
        <w:pStyle w:val="Heading3"/>
      </w:pPr>
      <w:r>
        <w:t xml:space="preserve">Notes &amp; Terms</w:t>
      </w:r>
    </w:p>
    <w:p>
      <w:pPr>
        <w:pStyle w:val="FirstParagraph"/>
      </w:pPr>
      <w:r>
        <w:t xml:space="preserve">1. This Invoice is issued in accordance with the Corporate Subscription Agreement (Ref: CSA-2025-MY-0091) between The Economist Group and Meridian Corporate Solutions Sdn. Bhd., registered in Malaysia Kuala Lumpur.</w:t>
      </w:r>
    </w:p>
    <w:p>
      <w:pPr>
        <w:pStyle w:val="BodyText"/>
      </w:pPr>
      <w:r>
        <w:t xml:space="preserve">2. All digital access to The Economist platform is subject to the terms and conditions available at economist.com/terms. The subscription covers 25 named users and is non-transferable without prior written consent.</w:t>
      </w:r>
    </w:p>
    <w:p>
      <w:pPr>
        <w:pStyle w:val="BodyText"/>
      </w:pPr>
      <w:r>
        <w:t xml:space="preserve">3. Print editions of The Economist will be dispatched from our London warehouse and delivered via DHL Express to the designated address in Malaysia Kuala Lumpur. Delivery is estimated within 5–7 business days from the date of dispatch.</w:t>
      </w:r>
    </w:p>
    <w:p>
      <w:pPr>
        <w:pStyle w:val="BodyText"/>
      </w:pPr>
      <w:r>
        <w:t xml:space="preserve">4. The EIU Malaysia &amp; ASEAN Economic Outlook Report is a licensed document for internal corporate use only. Reproduction or distribution to third parties is strictly prohibited under the terms of this Invoice.</w:t>
      </w:r>
    </w:p>
    <w:p>
      <w:pPr>
        <w:pStyle w:val="BodyText"/>
      </w:pPr>
      <w:r>
        <w:t xml:space="preserve">5. Sales and Service Tax (SST) at 6% has been applied in compliance with the Malaysian Sales and Service Tax Act 2018. The recipient is responsible for any additional import duties or taxes levied by Malaysian customs authorities upon delivery in Malaysia Kuala Lumpur.</w:t>
      </w:r>
    </w:p>
    <w:p>
      <w:pPr>
        <w:pStyle w:val="BodyText"/>
      </w:pPr>
      <w:r>
        <w:t xml:space="preserve">6. This Invoice is valid for 90 days from the date of issue. If payment is not received within the stated Due Date, The Economist reserves the right to suspend digital access and halt further print deliveries until the outstanding balance is settled in full.</w:t>
      </w:r>
    </w:p>
    <w:p>
      <w:pPr>
        <w:pStyle w:val="BodyText"/>
      </w:pPr>
      <w:r>
        <w:t xml:space="preserve">7. For any queries regarding this Invoice or your The Economist subscription, please contact our Asia-Pacific Customer Services team at apac-support@economist.com or call +60 3-2181 9999 (Malaysia Kuala Lumpur dedicated line, Monday to Friday, 9:00 AM – 6:00 PM MYT).</w:t>
      </w:r>
    </w:p>
    <w:bookmarkEnd w:id="25"/>
    <w:p>
      <w:pPr>
        <w:pStyle w:val="BodyText"/>
      </w:pPr>
      <w:r>
        <w:rPr>
          <w:bCs/>
          <w:b/>
        </w:rPr>
        <w:t xml:space="preserve">The Economist Group</w:t>
      </w:r>
      <w:r>
        <w:t xml:space="preserve"> </w:t>
      </w:r>
      <w:r>
        <w:t xml:space="preserve">| 25 St James's Street, London SW1Y 4HU, United Kingdom</w:t>
      </w:r>
    </w:p>
    <w:p>
      <w:pPr>
        <w:pStyle w:val="BodyText"/>
      </w:pPr>
      <w:r>
        <w:t xml:space="preserve">This Invoice was generated electronically and is valid without a physical signature. For verification, please contact apac-support@economist.com.</w:t>
      </w:r>
    </w:p>
    <w:p>
      <w:pPr>
        <w:pStyle w:val="BodyText"/>
      </w:pPr>
      <w:r>
        <w:t xml:space="preserve">Thank you for your continued subscription to The Economist. We are committed to delivering world-class economic analysis and global business intelligence to our valued readers in Malaysia Kuala Lumpur and around the world.</w:t>
      </w:r>
    </w:p>
    <w:p>
      <w:pPr>
        <w:pStyle w:val="BodyText"/>
      </w:pPr>
      <w:r>
        <w:t xml:space="preserve">Invoice ECO-MY-2025-004872 | Generated: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The Economist Subscription Services - Malaysia Kuala Lumpur</dc:title>
  <dc:creator/>
  <dc:language>en</dc:language>
  <cp:keywords/>
  <dcterms:created xsi:type="dcterms:W3CDTF">2026-10-10T03:51:14Z</dcterms:created>
  <dcterms:modified xsi:type="dcterms:W3CDTF">2026-10-10T03:51:14Z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