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meridian-economic-advisory-group"/>
    <w:p>
      <w:pPr>
        <w:pStyle w:val="Heading1"/>
      </w:pPr>
      <w:r>
        <w:t xml:space="preserve">Meridian Economic Advisory Group</w:t>
      </w:r>
    </w:p>
    <w:p>
      <w:pPr>
        <w:pStyle w:val="FirstParagraph"/>
      </w:pPr>
      <w:r>
        <w:rPr>
          <w:bCs/>
          <w:b/>
        </w:rPr>
        <w:t xml:space="preserve">Specialized Economist Consulting Firm</w:t>
      </w:r>
    </w:p>
    <w:p>
      <w:pPr>
        <w:pStyle w:val="BodyText"/>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Tel: +52 (55) 5512-3456 | Email: billing@meridianecon.mx</w:t>
      </w:r>
    </w:p>
    <w:p>
      <w:pPr>
        <w:pStyle w:val="BodyText"/>
      </w:pPr>
      <w:r>
        <w:t xml:space="preserve">RFC: MEA180520KX7 | SAT Registered</w:t>
      </w:r>
    </w:p>
    <w:bookmarkEnd w:id="20"/>
    <w:bookmarkStart w:id="21" w:name="invoice"/>
    <w:p>
      <w:pPr>
        <w:pStyle w:val="Heading2"/>
      </w:pPr>
      <w:r>
        <w:t xml:space="preserve">INVOICE</w:t>
      </w:r>
    </w:p>
    <w:p>
      <w:pPr>
        <w:pStyle w:val="FirstParagraph"/>
      </w:pPr>
      <w:r>
        <w:t xml:space="preserve">Official</w:t>
      </w:r>
    </w:p>
    <w:p>
      <w:pPr>
        <w:pStyle w:val="BodyText"/>
      </w:pPr>
      <w:r>
        <w:rPr>
          <w:bCs/>
          <w:b/>
        </w:rPr>
        <w:t xml:space="preserve">Invoice No.:</w:t>
      </w:r>
      <w:r>
        <w:t xml:space="preserve"> </w:t>
      </w:r>
      <w:r>
        <w:t xml:space="preserve">MEG-2025-04872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Mexico</w:t>
      </w:r>
    </w:p>
    <w:p>
      <w:pPr>
        <w:pStyle w:val="BodyText"/>
      </w:pPr>
      <w:r>
        <w:rPr>
          <w:bCs/>
          <w:b/>
        </w:rPr>
        <w:t xml:space="preserve">City:</w:t>
      </w:r>
      <w:r>
        <w:t xml:space="preserve"> </w:t>
      </w:r>
      <w:r>
        <w:t xml:space="preserve">Mexico City</w:t>
      </w:r>
    </w:p>
    <w:bookmarkEnd w:id="21"/>
    <w:bookmarkStart w:id="22" w:name="bill-to"/>
    <w:p>
      <w:pPr>
        <w:pStyle w:val="Heading3"/>
      </w:pPr>
      <w:r>
        <w:t xml:space="preserve">Bill To</w:t>
      </w:r>
    </w:p>
    <w:p>
      <w:pPr>
        <w:pStyle w:val="FirstParagraph"/>
      </w:pPr>
      <w:r>
        <w:rPr>
          <w:bCs/>
          <w:b/>
        </w:rPr>
        <w:t xml:space="preserve">Grupo Financiero del Pacífico, S.A. de C.V.</w:t>
      </w:r>
    </w:p>
    <w:p>
      <w:pPr>
        <w:pStyle w:val="BodyText"/>
      </w:pPr>
      <w:r>
        <w:t xml:space="preserve">Attn: Lic. María Fernanda Gutiérrez</w:t>
      </w:r>
    </w:p>
    <w:p>
      <w:pPr>
        <w:pStyle w:val="BodyText"/>
      </w:pPr>
      <w:r>
        <w:t xml:space="preserve">Director of Strategic Planning</w:t>
      </w:r>
    </w:p>
    <w:p>
      <w:pPr>
        <w:pStyle w:val="BodyText"/>
      </w:pPr>
      <w:r>
        <w:t xml:space="preserve">Blvd. Manuel Ávila Camacho 150</w:t>
      </w:r>
    </w:p>
    <w:p>
      <w:pPr>
        <w:pStyle w:val="BodyText"/>
      </w:pPr>
      <w:r>
        <w:t xml:space="preserve">Col. Lomas Altas, C.P. 11950</w:t>
      </w:r>
    </w:p>
    <w:p>
      <w:pPr>
        <w:pStyle w:val="BodyText"/>
      </w:pPr>
      <w:r>
        <w:t xml:space="preserve">Mexico Mexico City, Mexico</w:t>
      </w:r>
    </w:p>
    <w:p>
      <w:pPr>
        <w:pStyle w:val="BodyText"/>
      </w:pPr>
      <w:r>
        <w:t xml:space="preserve">RFC: GFP090315AB1</w:t>
      </w:r>
    </w:p>
    <w:p>
      <w:pPr>
        <w:pStyle w:val="BodyText"/>
      </w:pPr>
      <w:r>
        <w:t xml:space="preserve">Email: mfgutierrez@grupopacifico.mx</w:t>
      </w:r>
    </w:p>
    <w:bookmarkEnd w:id="22"/>
    <w:bookmarkStart w:id="23" w:name="service-provider"/>
    <w:p>
      <w:pPr>
        <w:pStyle w:val="Heading3"/>
      </w:pPr>
      <w:r>
        <w:t xml:space="preserve">Service Provider</w:t>
      </w:r>
    </w:p>
    <w:p>
      <w:pPr>
        <w:pStyle w:val="FirstParagraph"/>
      </w:pPr>
      <w:r>
        <w:rPr>
          <w:bCs/>
          <w:b/>
        </w:rPr>
        <w:t xml:space="preserve">Dr. Alejandro Ramírez Torres</w:t>
      </w:r>
    </w:p>
    <w:p>
      <w:pPr>
        <w:pStyle w:val="BodyText"/>
      </w:pPr>
      <w:r>
        <w:t xml:space="preserve">Senior Economist &amp; Lead Consultant</w:t>
      </w:r>
    </w:p>
    <w:p>
      <w:pPr>
        <w:pStyle w:val="BodyText"/>
      </w:pPr>
      <w:r>
        <w:t xml:space="preserve">Ph.D. in Economics, UNAM</w:t>
      </w:r>
    </w:p>
    <w:p>
      <w:pPr>
        <w:pStyle w:val="BodyText"/>
      </w:pPr>
      <w:r>
        <w:t xml:space="preserve">Meridian Economic Advisory Group</w:t>
      </w:r>
    </w:p>
    <w:p>
      <w:pPr>
        <w:pStyle w:val="BodyText"/>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License No. ECO-MX-2019-00432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Macroeconomic Analysis &amp; Forecasting</w:t>
            </w:r>
            <w:r>
              <w:t xml:space="preserve"> </w:t>
            </w:r>
            <w:r>
              <w:t xml:space="preserve">– Comprehensive economist assessment of Mexico's GDP trajectory, inflation outlook, and monetary policy implications for the fiscal year 2025–2026, prepared specifically for strategic planning purposes in Mexico Mexico City.</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2</w:t>
            </w:r>
          </w:p>
        </w:tc>
        <w:tc>
          <w:tcPr/>
          <w:p>
            <w:pPr>
              <w:pStyle w:val="Compact"/>
              <w:jc w:val="left"/>
            </w:pPr>
            <w:r>
              <w:rPr>
                <w:bCs/>
                <w:b/>
              </w:rPr>
              <w:t xml:space="preserve">Trade Policy &amp; Tariff Impact Study</w:t>
            </w:r>
            <w:r>
              <w:t xml:space="preserve"> </w:t>
            </w:r>
            <w:r>
              <w:t xml:space="preserve">– Economist-led analysis of the revised USMCA trade framework and its projected effects on manufacturing sectors operating within Mexico Mexico City, including sensitivity modeling and scenario planning.</w:t>
            </w:r>
          </w:p>
        </w:tc>
        <w:tc>
          <w:tcPr/>
          <w:p>
            <w:pPr>
              <w:pStyle w:val="Compact"/>
              <w:jc w:val="left"/>
            </w:pPr>
            <w:r>
              <w:t xml:space="preserve">May 19 – May 30, 2025</w:t>
            </w:r>
          </w:p>
        </w:tc>
        <w:tc>
          <w:tcPr/>
          <w:p>
            <w:pPr>
              <w:pStyle w:val="Compact"/>
              <w:jc w:val="left"/>
            </w:pPr>
            <w:r>
              <w:t xml:space="preserve">36</w:t>
            </w:r>
          </w:p>
        </w:tc>
        <w:tc>
          <w:tcPr/>
          <w:p>
            <w:pPr>
              <w:pStyle w:val="Compact"/>
              <w:jc w:val="left"/>
            </w:pPr>
            <w:r>
              <w:t xml:space="preserve">$2,850.00</w:t>
            </w:r>
          </w:p>
        </w:tc>
        <w:tc>
          <w:tcPr/>
          <w:p>
            <w:pPr>
              <w:pStyle w:val="Compact"/>
              <w:jc w:val="left"/>
            </w:pPr>
            <w:r>
              <w:t xml:space="preserve">$102,600.00</w:t>
            </w:r>
          </w:p>
        </w:tc>
      </w:tr>
      <w:tr>
        <w:tc>
          <w:tcPr/>
          <w:p>
            <w:pPr>
              <w:pStyle w:val="Compact"/>
              <w:jc w:val="left"/>
            </w:pPr>
            <w:r>
              <w:t xml:space="preserve">3</w:t>
            </w:r>
          </w:p>
        </w:tc>
        <w:tc>
          <w:tcPr/>
          <w:p>
            <w:pPr>
              <w:pStyle w:val="Compact"/>
              <w:jc w:val="left"/>
            </w:pPr>
            <w:r>
              <w:rPr>
                <w:bCs/>
                <w:b/>
              </w:rPr>
              <w:t xml:space="preserve">Regional Economic Development Report</w:t>
            </w:r>
            <w:r>
              <w:t xml:space="preserve"> </w:t>
            </w:r>
            <w:r>
              <w:t xml:space="preserve">– Detailed economist report on labor market dynamics, wage inflation, and productivity indices across the Mexico City metropolitan area, with recommendations for workforce investment strategy.</w:t>
            </w:r>
          </w:p>
        </w:tc>
        <w:tc>
          <w:tcPr/>
          <w:p>
            <w:pPr>
              <w:pStyle w:val="Compact"/>
              <w:jc w:val="left"/>
            </w:pPr>
            <w:r>
              <w:t xml:space="preserve">June 2 – June 9, 2025</w:t>
            </w:r>
          </w:p>
        </w:tc>
        <w:tc>
          <w:tcPr/>
          <w:p>
            <w:pPr>
              <w:pStyle w:val="Compact"/>
              <w:jc w:val="left"/>
            </w:pPr>
            <w:r>
              <w:t xml:space="preserve">32</w:t>
            </w:r>
          </w:p>
        </w:tc>
        <w:tc>
          <w:tcPr/>
          <w:p>
            <w:pPr>
              <w:pStyle w:val="Compact"/>
              <w:jc w:val="left"/>
            </w:pPr>
            <w:r>
              <w:t xml:space="preserve">$2,850.00</w:t>
            </w:r>
          </w:p>
        </w:tc>
        <w:tc>
          <w:tcPr/>
          <w:p>
            <w:pPr>
              <w:pStyle w:val="Compact"/>
              <w:jc w:val="left"/>
            </w:pPr>
            <w:r>
              <w:t xml:space="preserve">$91,200.00</w:t>
            </w:r>
          </w:p>
        </w:tc>
      </w:tr>
      <w:tr>
        <w:tc>
          <w:tcPr/>
          <w:p>
            <w:pPr>
              <w:pStyle w:val="Compact"/>
              <w:jc w:val="left"/>
            </w:pPr>
            <w:r>
              <w:t xml:space="preserve">4</w:t>
            </w:r>
          </w:p>
        </w:tc>
        <w:tc>
          <w:tcPr/>
          <w:p>
            <w:pPr>
              <w:pStyle w:val="Compact"/>
              <w:jc w:val="left"/>
            </w:pPr>
            <w:r>
              <w:rPr>
                <w:bCs/>
                <w:b/>
              </w:rPr>
              <w:t xml:space="preserve">Executive Presentation &amp; Board Advisory</w:t>
            </w:r>
            <w:r>
              <w:t xml:space="preserve"> </w:t>
            </w:r>
            <w:r>
              <w:t xml:space="preserve">– On-site economist presentation to the Board of Directors at the client's headquarters in Mexico Mexico City, covering all findings, risk assessments, and strategic economic recommendations for the upcoming fiscal quarter.</w:t>
            </w:r>
          </w:p>
        </w:tc>
        <w:tc>
          <w:tcPr/>
          <w:p>
            <w:pPr>
              <w:pStyle w:val="Compact"/>
              <w:jc w:val="left"/>
            </w:pPr>
            <w:r>
              <w:t xml:space="preserve">June 12, 2025</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5</w:t>
            </w:r>
          </w:p>
        </w:tc>
        <w:tc>
          <w:tcPr/>
          <w:p>
            <w:pPr>
              <w:pStyle w:val="Compact"/>
              <w:jc w:val="left"/>
            </w:pPr>
            <w:r>
              <w:rPr>
                <w:bCs/>
                <w:b/>
              </w:rPr>
              <w:t xml:space="preserve">Regulatory Compliance &amp; Tax Economics Review</w:t>
            </w:r>
            <w:r>
              <w:t xml:space="preserve"> </w:t>
            </w:r>
            <w:r>
              <w:t xml:space="preserve">– Specialist economist review of corporate tax obligations, fiscal incentives available under Mexican federal and Mexico City state regulations, and compliance alignment with SAT requirements.</w:t>
            </w:r>
          </w:p>
        </w:tc>
        <w:tc>
          <w:tcPr/>
          <w:p>
            <w:pPr>
              <w:pStyle w:val="Compact"/>
              <w:jc w:val="left"/>
            </w:pPr>
            <w:r>
              <w:t xml:space="preserve">June 10 – June 13, 2025</w:t>
            </w:r>
          </w:p>
        </w:tc>
        <w:tc>
          <w:tcPr/>
          <w:p>
            <w:pPr>
              <w:pStyle w:val="Compact"/>
              <w:jc w:val="left"/>
            </w:pPr>
            <w:r>
              <w:t xml:space="preserve">16</w:t>
            </w:r>
          </w:p>
        </w:tc>
        <w:tc>
          <w:tcPr/>
          <w:p>
            <w:pPr>
              <w:pStyle w:val="Compact"/>
              <w:jc w:val="left"/>
            </w:pPr>
            <w:r>
              <w:t xml:space="preserve">$2,850.00</w:t>
            </w:r>
          </w:p>
        </w:tc>
        <w:tc>
          <w:tcPr/>
          <w:p>
            <w:pPr>
              <w:pStyle w:val="Compact"/>
              <w:jc w:val="left"/>
            </w:pPr>
            <w:r>
              <w:t xml:space="preserve">$45,600.00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$404,200.00</w:t>
            </w:r>
          </w:p>
        </w:tc>
      </w:tr>
      <w:tr>
        <w:tc>
          <w:tcPr/>
          <w:p>
            <w:pPr>
              <w:pStyle w:val="Compact"/>
              <w:jc w:val="left"/>
            </w:pPr>
            <w:r>
              <w:t xml:space="preserve">IVA (16% VAT – Mexico)</w:t>
            </w:r>
          </w:p>
        </w:tc>
        <w:tc>
          <w:tcPr/>
          <w:p>
            <w:pPr>
              <w:pStyle w:val="Compact"/>
              <w:jc w:val="right"/>
            </w:pPr>
            <w:r>
              <w:t xml:space="preserve">$64,672.00</w:t>
            </w:r>
          </w:p>
        </w:tc>
      </w:tr>
      <w:tr>
        <w:tc>
          <w:tcPr/>
          <w:p>
            <w:pPr>
              <w:pStyle w:val="Compact"/>
              <w:jc w:val="left"/>
            </w:pPr>
            <w:r>
              <w:t xml:space="preserve">Retención ISR (10.8%)</w:t>
            </w:r>
          </w:p>
        </w:tc>
        <w:tc>
          <w:tcPr/>
          <w:p>
            <w:pPr>
              <w:pStyle w:val="Compact"/>
              <w:jc w:val="right"/>
            </w:pPr>
            <w:r>
              <w:t xml:space="preserve">($43,653.60)</w:t>
            </w:r>
          </w:p>
        </w:tc>
      </w:tr>
      <w:tr>
        <w:tc>
          <w:tcPr/>
          <w:p>
            <w:pPr>
              <w:pStyle w:val="Compact"/>
              <w:jc w:val="left"/>
            </w:pPr>
            <w:r>
              <w:rPr>
                <w:bCs/>
                <w:b/>
              </w:rPr>
              <w:t xml:space="preserve">Grand Total Due (MXN)</w:t>
            </w:r>
          </w:p>
        </w:tc>
        <w:tc>
          <w:tcPr/>
          <w:p>
            <w:pPr>
              <w:pStyle w:val="Compact"/>
              <w:jc w:val="right"/>
            </w:pPr>
            <w:r>
              <w:rPr>
                <w:bCs/>
                <w:b/>
              </w:rPr>
              <w:t xml:space="preserve">$425,218.40</w:t>
            </w:r>
          </w:p>
        </w:tc>
      </w:tr>
    </w:tbl>
    <w:bookmarkStart w:id="24" w:name="terms-and-conditions"/>
    <w:p>
      <w:pPr>
        <w:pStyle w:val="Heading3"/>
      </w:pPr>
      <w:r>
        <w:t xml:space="preserve">Terms and Conditions</w:t>
      </w:r>
    </w:p>
    <w:p>
      <w:pPr>
        <w:numPr>
          <w:ilvl w:val="0"/>
          <w:numId w:val="1001"/>
        </w:numPr>
        <w:pStyle w:val="Compact"/>
      </w:pPr>
      <w:r>
        <w:t xml:space="preserve">This Invoice is issued in accordance with the commercial regulations of the United Mexican States and the specific economic advisory contract (Ref. CTA-2025-0198) executed between Meridian Economic Advisory Group and Grupo Financiero del Pacífico, S.A. de C.V.</w:t>
      </w:r>
    </w:p>
    <w:p>
      <w:pPr>
        <w:numPr>
          <w:ilvl w:val="0"/>
          <w:numId w:val="1001"/>
        </w:numPr>
        <w:pStyle w:val="Compact"/>
      </w:pPr>
      <w:r>
        <w:t xml:space="preserve">All economist services described herein were performed by a licensed professional economist registered with the Colegio de Economistas de la Ciudad de México, operating within the jurisdiction of Mexico Mexico City.</w:t>
      </w:r>
    </w:p>
    <w:p>
      <w:pPr>
        <w:numPr>
          <w:ilvl w:val="0"/>
          <w:numId w:val="1001"/>
        </w:numPr>
        <w:pStyle w:val="Compact"/>
      </w:pPr>
      <w:r>
        <w:t xml:space="preserve">Payment is due within thirty (30) calendar days from the date of this Invoice. Late payments shall accrue interest at the rate established by the Banco de México (Banxico) for overdue commercial obligations.</w:t>
      </w:r>
    </w:p>
    <w:p>
      <w:pPr>
        <w:numPr>
          <w:ilvl w:val="0"/>
          <w:numId w:val="1001"/>
        </w:numPr>
        <w:pStyle w:val="Compact"/>
      </w:pPr>
      <w:r>
        <w:t xml:space="preserve">Payment shall be made via bank transfer (SPEI) to the following account: BBVA México, CLABE 012180004567890123, in Mexican Pesos (MXN). This Invoice is valid for payment in Mexican Pesos only.</w:t>
      </w:r>
    </w:p>
    <w:p>
      <w:pPr>
        <w:numPr>
          <w:ilvl w:val="0"/>
          <w:numId w:val="1001"/>
        </w:numPr>
        <w:pStyle w:val="Compact"/>
      </w:pPr>
      <w:r>
        <w:t xml:space="preserve">All deliverables, including the economist reports, forecasts, and advisory memoranda, remain the intellectual property of Meridian Economic Advisory Group until full payment is received. Upon settlement, the client receives a perpetual, non-transferable license to use the materials for internal strategic purposes within Mexico.</w:t>
      </w:r>
    </w:p>
    <w:p>
      <w:pPr>
        <w:numPr>
          <w:ilvl w:val="0"/>
          <w:numId w:val="1001"/>
        </w:numPr>
        <w:pStyle w:val="Compact"/>
      </w:pPr>
      <w:r>
        <w:t xml:space="preserve">This Invoice complies with the electronic invoicing (CFDI 4.0) requirements established by the Servicio de Administración Tributaria (SAT) of Mexico. The corresponding XML file and digital certificate are available upon request at billing@meridianecon.mx.</w:t>
      </w:r>
    </w:p>
    <w:p>
      <w:pPr>
        <w:numPr>
          <w:ilvl w:val="0"/>
          <w:numId w:val="1001"/>
        </w:numPr>
        <w:pStyle w:val="Compact"/>
      </w:pPr>
      <w:r>
        <w:t xml:space="preserve">Any disputes arising from this Invoice or the associated economist services shall be resolved under the commercial laws of the State of Mexico City, Mexico, and shall be subject to the exclusive jurisdiction of the commercial courts located in Mexico Mexico City.</w:t>
      </w:r>
    </w:p>
    <w:bookmarkEnd w:id="24"/>
    <w:bookmarkStart w:id="25" w:name="additional-notes"/>
    <w:p>
      <w:pPr>
        <w:pStyle w:val="Heading3"/>
      </w:pPr>
      <w:r>
        <w:t xml:space="preserve">Additional Notes</w:t>
      </w:r>
    </w:p>
    <w:p>
      <w:pPr>
        <w:pStyle w:val="FirstParagraph"/>
      </w:pPr>
      <w:r>
        <w:t xml:space="preserve">This Invoice reflects the complete scope of economist consulting services rendered during the period of May 5, 2025, through June 13, 2025. The economist engagement was conducted in full compliance with the professional ethics code of the Colegio de Economistas de la Ciudad de México and all applicable federal and local regulations governing economic advisory practices in Mexico Mexico City.</w:t>
      </w:r>
    </w:p>
    <w:p>
      <w:pPr>
        <w:pStyle w:val="BodyText"/>
      </w:pPr>
      <w:r>
        <w:t xml:space="preserve">The client is advised that the macroeconomic forecasts and trade policy analyses contained in the deliverables are based on data available as of June 13, 2025, and should be reviewed in light of any subsequent changes in Mexican fiscal policy, Banxico interest rate decisions, or international trade developments affecting Mexico.</w:t>
      </w:r>
    </w:p>
    <w:p>
      <w:pPr>
        <w:pStyle w:val="BodyText"/>
      </w:pPr>
      <w:r>
        <w:t xml:space="preserve">For questions regarding this Invoice or to request a duplicate copy, please contact our billing department at +52 (55) 5512-3456, extension 201, or via email at billing@meridianecon.mx. Our office is located at Av. Paseo de la Reforma 222, Piso 14, Col. Cuauhtémoc, Mexico Mexico City, and is open Monday through Friday from 9:00 AM to 6:00 PM (Mexico City local time, GMT-6).</w:t>
      </w:r>
    </w:p>
    <w:bookmarkEnd w:id="25"/>
    <w:p>
      <w:pPr>
        <w:pStyle w:val="BodyText"/>
      </w:pPr>
      <w:r>
        <w:rPr>
          <w:bCs/>
          <w:b/>
        </w:rPr>
        <w:t xml:space="preserve">Meridian Economic Advisory Group</w:t>
      </w:r>
      <w:r>
        <w:t xml:space="preserve"> </w:t>
      </w:r>
      <w:r>
        <w:t xml:space="preserve">| Specialist Economist Consulting | Mexico Mexico City, Mexico</w:t>
      </w:r>
    </w:p>
    <w:p>
      <w:pPr>
        <w:pStyle w:val="BodyText"/>
      </w:pPr>
      <w:r>
        <w:t xml:space="preserve">Av. Paseo de la Reforma 222, Piso 14, Col. Cuauhtémoc, C.P. 06600, Mexico Mexico City | RFC: MEA180520KX7</w:t>
      </w:r>
    </w:p>
    <w:p>
      <w:pPr>
        <w:pStyle w:val="BodyText"/>
      </w:pPr>
      <w:r>
        <w:t xml:space="preserve">This Invoice was generated electronically and is valid without a physical signature in accordance with Mexican commercial law (Código de Comercio, Art. 89).</w:t>
      </w:r>
    </w:p>
    <w:p>
      <w:pPr>
        <w:pStyle w:val="BodyText"/>
      </w:pPr>
      <w:r>
        <w:t xml:space="preserve">Invoice MEG-2025-04872 | Issued in Mexico Mexico City, Mexico |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Mexico Mexico City</dc:title>
  <dc:creator/>
  <dc:language>en</dc:language>
  <cp:keywords/>
  <dcterms:created xsi:type="dcterms:W3CDTF">2026-10-10T03:50:59Z</dcterms:created>
  <dcterms:modified xsi:type="dcterms:W3CDTF">2026-10-10T03:50:59Z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