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dr.-ricardo-mendoza-salazar"/>
    <w:p>
      <w:pPr>
        <w:pStyle w:val="Heading1"/>
      </w:pPr>
      <w:r>
        <w:t xml:space="preserve">Dr. Ricardo Mendoza Salazar</w:t>
      </w:r>
    </w:p>
    <w:p>
      <w:pPr>
        <w:pStyle w:val="FirstParagraph"/>
      </w:pPr>
      <w:r>
        <w:t xml:space="preserve">Economist &amp; Senior Financial Consultant</w:t>
      </w:r>
    </w:p>
    <w:p>
      <w:pPr>
        <w:pStyle w:val="BodyText"/>
      </w:pPr>
      <w:r>
        <w:t xml:space="preserve">RUC: 20567894321</w:t>
      </w:r>
    </w:p>
    <w:p>
      <w:pPr>
        <w:pStyle w:val="BodyText"/>
      </w:pPr>
      <w:r>
        <w:t xml:space="preserve">Av. Javier Prado Este 1245, Of. 807</w:t>
      </w:r>
    </w:p>
    <w:p>
      <w:pPr>
        <w:pStyle w:val="BodyText"/>
      </w:pPr>
      <w:r>
        <w:t xml:space="preserve">San Isidro, Lima 15081, Peru</w:t>
      </w:r>
    </w:p>
    <w:p>
      <w:pPr>
        <w:pStyle w:val="BodyText"/>
      </w:pPr>
      <w:r>
        <w:t xml:space="preserve">Tel: +51 1 456 7890</w:t>
      </w:r>
    </w:p>
    <w:p>
      <w:pPr>
        <w:pStyle w:val="BodyText"/>
      </w:pPr>
      <w:r>
        <w:t xml:space="preserve">Email: r.mendoza@economistlima.pe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INV-2025-00347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Ministerio de Economía y Finanzas (MEF)</w:t>
      </w:r>
    </w:p>
    <w:p>
      <w:pPr>
        <w:pStyle w:val="BodyText"/>
      </w:pPr>
      <w:r>
        <w:t xml:space="preserve">Av. España 1341</w:t>
      </w:r>
    </w:p>
    <w:p>
      <w:pPr>
        <w:pStyle w:val="BodyText"/>
      </w:pPr>
      <w:r>
        <w:t xml:space="preserve">Jesús María, Lima 15001, Peru</w:t>
      </w:r>
    </w:p>
    <w:p>
      <w:pPr>
        <w:pStyle w:val="BodyText"/>
      </w:pPr>
      <w:r>
        <w:t xml:space="preserve">RUC: 20000000001</w:t>
      </w:r>
    </w:p>
    <w:p>
      <w:pPr>
        <w:pStyle w:val="BodyText"/>
      </w:pPr>
      <w:r>
        <w:t xml:space="preserve">Attn: Lic. Carmen Torres Vega</w:t>
      </w:r>
    </w:p>
    <w:p>
      <w:pPr>
        <w:pStyle w:val="BodyText"/>
      </w:pPr>
      <w:r>
        <w:t xml:space="preserve">Directorate of Macroeconomic Policy</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MEF-CON-2025-0892</w:t>
      </w:r>
    </w:p>
    <w:p>
      <w:pPr>
        <w:pStyle w:val="BodyText"/>
      </w:pPr>
      <w:r>
        <w:rPr>
          <w:bCs/>
          <w:b/>
        </w:rPr>
        <w:t xml:space="preserve">Scope:</w:t>
      </w:r>
      <w:r>
        <w:t xml:space="preserve"> </w:t>
      </w:r>
      <w:r>
        <w:t xml:space="preserve">Macroeconomic Analysis &amp; Fiscal Policy Advisory</w:t>
      </w:r>
    </w:p>
    <w:p>
      <w:pPr>
        <w:pStyle w:val="BodyText"/>
      </w:pPr>
      <w:r>
        <w:rPr>
          <w:bCs/>
          <w:b/>
        </w:rPr>
        <w:t xml:space="preserve">Period:</w:t>
      </w:r>
      <w:r>
        <w:t xml:space="preserve"> </w:t>
      </w:r>
      <w:r>
        <w:t xml:space="preserve">January 2025 – June 2025</w:t>
      </w:r>
    </w:p>
    <w:p>
      <w:pPr>
        <w:pStyle w:val="BodyText"/>
      </w:pPr>
      <w:r>
        <w:rPr>
          <w:bCs/>
          <w:b/>
        </w:rPr>
        <w:t xml:space="preserve">Location:</w:t>
      </w:r>
      <w:r>
        <w:t xml:space="preserve"> </w:t>
      </w:r>
      <w:r>
        <w:t xml:space="preserve">Lima, Peru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1</w:t>
            </w:r>
          </w:p>
        </w:tc>
        <w:tc>
          <w:tcPr/>
          <w:p>
            <w:pPr>
              <w:pStyle w:val="Compact"/>
              <w:jc w:val="left"/>
            </w:pPr>
            <w:r>
              <w:t xml:space="preserve">Macroeconomic forecasting and GDP projection analysis for the Lima metropolitan region, including quarterly revisions and scenario modeling for the national economy of Peru.</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9,180.00</w:t>
            </w:r>
          </w:p>
        </w:tc>
      </w:tr>
      <w:tr>
        <w:tc>
          <w:tcPr/>
          <w:p>
            <w:pPr>
              <w:pStyle w:val="Compact"/>
              <w:jc w:val="left"/>
            </w:pPr>
            <w:r>
              <w:t xml:space="preserve">2</w:t>
            </w:r>
          </w:p>
        </w:tc>
        <w:tc>
          <w:tcPr/>
          <w:p>
            <w:pPr>
              <w:pStyle w:val="Compact"/>
              <w:jc w:val="left"/>
            </w:pPr>
            <w:r>
              <w:t xml:space="preserve">Fiscal policy advisory and budget impact assessment for proposed tax reform measures affecting the Lima business sector and national revenue collection.</w:t>
            </w:r>
          </w:p>
        </w:tc>
        <w:tc>
          <w:tcPr/>
          <w:p>
            <w:pPr>
              <w:pStyle w:val="Compact"/>
              <w:jc w:val="left"/>
            </w:pPr>
            <w:r>
              <w:t xml:space="preserve">4 reports</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4,464.00</w:t>
            </w:r>
          </w:p>
        </w:tc>
      </w:tr>
      <w:tr>
        <w:tc>
          <w:tcPr/>
          <w:p>
            <w:pPr>
              <w:pStyle w:val="Compact"/>
              <w:jc w:val="left"/>
            </w:pPr>
            <w:r>
              <w:t xml:space="preserve">3</w:t>
            </w:r>
          </w:p>
        </w:tc>
        <w:tc>
          <w:tcPr/>
          <w:p>
            <w:pPr>
              <w:pStyle w:val="Compact"/>
              <w:jc w:val="left"/>
            </w:pPr>
            <w:r>
              <w:t xml:space="preserve">Inflation analysis and monetary policy coordination support, including CPI monitoring for the Lima consumer basket and recommendations to the Central Reserve Bank of Peru (BCRP).</w:t>
            </w:r>
          </w:p>
        </w:tc>
        <w:tc>
          <w:tcPr/>
          <w:p>
            <w:pPr>
              <w:pStyle w:val="Compact"/>
              <w:jc w:val="left"/>
            </w:pPr>
            <w:r>
              <w:t xml:space="preserve">12 sessions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8,208.00</w:t>
            </w:r>
          </w:p>
        </w:tc>
      </w:tr>
      <w:tr>
        <w:tc>
          <w:tcPr/>
          <w:p>
            <w:pPr>
              <w:pStyle w:val="Compact"/>
              <w:jc w:val="left"/>
            </w:pPr>
            <w:r>
              <w:t xml:space="preserve">4</w:t>
            </w:r>
          </w:p>
        </w:tc>
        <w:tc>
          <w:tcPr/>
          <w:p>
            <w:pPr>
              <w:pStyle w:val="Compact"/>
              <w:jc w:val="left"/>
            </w:pPr>
            <w:r>
              <w:t xml:space="preserve">Trade balance and foreign exchange market analysis for Peru's export-import dynamics, with specific focus on Lima port logistics and commodity price volatility.</w:t>
            </w:r>
          </w:p>
        </w:tc>
        <w:tc>
          <w:tcPr/>
          <w:p>
            <w:pPr>
              <w:pStyle w:val="Compact"/>
              <w:jc w:val="left"/>
            </w:pPr>
            <w:r>
              <w:t xml:space="preserve">3 deliverables</w:t>
            </w:r>
          </w:p>
        </w:tc>
        <w:tc>
          <w:tcPr/>
          <w:p>
            <w:pPr>
              <w:pStyle w:val="Compact"/>
              <w:jc w:val="left"/>
            </w:pPr>
            <w:r>
              <w:t xml:space="preserve">7,400.00</w:t>
            </w:r>
          </w:p>
        </w:tc>
        <w:tc>
          <w:tcPr/>
          <w:p>
            <w:pPr>
              <w:pStyle w:val="Compact"/>
              <w:jc w:val="left"/>
            </w:pPr>
            <w:r>
              <w:t xml:space="preserve">22,200.00</w:t>
            </w:r>
          </w:p>
        </w:tc>
        <w:tc>
          <w:tcPr/>
          <w:p>
            <w:pPr>
              <w:pStyle w:val="Compact"/>
              <w:jc w:val="left"/>
            </w:pPr>
            <w:r>
              <w:t xml:space="preserve">3,996.00</w:t>
            </w:r>
          </w:p>
        </w:tc>
      </w:tr>
      <w:tr>
        <w:tc>
          <w:tcPr/>
          <w:p>
            <w:pPr>
              <w:pStyle w:val="Compact"/>
              <w:jc w:val="left"/>
            </w:pPr>
            <w:r>
              <w:t xml:space="preserve">5</w:t>
            </w:r>
          </w:p>
        </w:tc>
        <w:tc>
          <w:tcPr/>
          <w:p>
            <w:pPr>
              <w:pStyle w:val="Compact"/>
              <w:jc w:val="left"/>
            </w:pPr>
            <w:r>
              <w:t xml:space="preserve">On-site economic consultation meetings and presentation of findings to the MEF Directorate of Macroeconomic Policy in Lima, including preparation of executive summaries and policy briefs.</w:t>
            </w:r>
          </w:p>
        </w:tc>
        <w:tc>
          <w:tcPr/>
          <w:p>
            <w:pPr>
              <w:pStyle w:val="Compact"/>
              <w:jc w:val="left"/>
            </w:pPr>
            <w:r>
              <w:t xml:space="preserve">8 meetings</w:t>
            </w:r>
          </w:p>
        </w:tc>
        <w:tc>
          <w:tcPr/>
          <w:p>
            <w:pPr>
              <w:pStyle w:val="Compact"/>
              <w:jc w:val="left"/>
            </w:pPr>
            <w:r>
              <w:t xml:space="preserve">2,500.00</w:t>
            </w:r>
          </w:p>
        </w:tc>
        <w:tc>
          <w:tcPr/>
          <w:p>
            <w:pPr>
              <w:pStyle w:val="Compact"/>
              <w:jc w:val="left"/>
            </w:pPr>
            <w:r>
              <w:t xml:space="preserve">20,000.00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IGV)</w:t>
            </w:r>
          </w:p>
        </w:tc>
        <w:tc>
          <w:tcPr/>
          <w:p>
            <w:pPr>
              <w:pStyle w:val="Compact"/>
              <w:jc w:val="left"/>
            </w:pPr>
            <w:r>
              <w:t xml:space="preserve">S/ 163,600.00</w:t>
            </w:r>
          </w:p>
        </w:tc>
      </w:tr>
      <w:tr>
        <w:tc>
          <w:tcPr/>
          <w:p>
            <w:pPr>
              <w:pStyle w:val="Compact"/>
              <w:jc w:val="left"/>
            </w:pPr>
            <w:r>
              <w:t xml:space="preserve">IGV (18% - Impuesto General a las Ventas)</w:t>
            </w:r>
          </w:p>
        </w:tc>
        <w:tc>
          <w:tcPr/>
          <w:p>
            <w:pPr>
              <w:pStyle w:val="Compact"/>
              <w:jc w:val="left"/>
            </w:pPr>
            <w:r>
              <w:t xml:space="preserve">S/ 29,448.00</w:t>
            </w:r>
          </w:p>
        </w:tc>
      </w:tr>
      <w:tr>
        <w:tc>
          <w:tcPr/>
          <w:p>
            <w:pPr>
              <w:pStyle w:val="Compact"/>
              <w:jc w:val="left"/>
            </w:pPr>
            <w:r>
              <w:t xml:space="preserve">TOTAL AMOUNT DUE</w:t>
            </w:r>
          </w:p>
        </w:tc>
        <w:tc>
          <w:tcPr/>
          <w:p>
            <w:pPr>
              <w:pStyle w:val="Compact"/>
              <w:jc w:val="left"/>
            </w:pPr>
            <w:r>
              <w:t xml:space="preserve">S/ 193,048.00</w:t>
            </w:r>
          </w:p>
        </w:tc>
      </w:tr>
    </w:tbl>
    <w:bookmarkStart w:id="24" w:name="payment-instructions-important-notes"/>
    <w:p>
      <w:pPr>
        <w:pStyle w:val="Heading3"/>
      </w:pPr>
      <w:r>
        <w:t xml:space="preserve">Payment Instructions &amp; Important Notes</w:t>
      </w:r>
    </w:p>
    <w:p>
      <w:pPr>
        <w:numPr>
          <w:ilvl w:val="0"/>
          <w:numId w:val="1001"/>
        </w:numPr>
        <w:pStyle w:val="Compact"/>
      </w:pPr>
      <w:r>
        <w:rPr>
          <w:bCs/>
          <w:b/>
        </w:rPr>
        <w:t xml:space="preserve">Bank:</w:t>
      </w:r>
      <w:r>
        <w:t xml:space="preserve"> </w:t>
      </w:r>
      <w:r>
        <w:t xml:space="preserve">Banco de Crédito del Perú (BCP)</w:t>
      </w:r>
    </w:p>
    <w:p>
      <w:pPr>
        <w:numPr>
          <w:ilvl w:val="0"/>
          <w:numId w:val="1001"/>
        </w:numPr>
        <w:pStyle w:val="Compact"/>
      </w:pPr>
      <w:r>
        <w:rPr>
          <w:bCs/>
          <w:b/>
        </w:rPr>
        <w:t xml:space="preserve">Account Name:</w:t>
      </w:r>
      <w:r>
        <w:t xml:space="preserve"> </w:t>
      </w:r>
      <w:r>
        <w:t xml:space="preserve">Ricardo Mendoza Salazar</w:t>
      </w:r>
    </w:p>
    <w:p>
      <w:pPr>
        <w:numPr>
          <w:ilvl w:val="0"/>
          <w:numId w:val="1001"/>
        </w:numPr>
        <w:pStyle w:val="Compact"/>
      </w:pPr>
      <w:r>
        <w:rPr>
          <w:bCs/>
          <w:b/>
        </w:rPr>
        <w:t xml:space="preserve">Account Number (Cuenta Corriente):</w:t>
      </w:r>
      <w:r>
        <w:t xml:space="preserve"> </w:t>
      </w:r>
      <w:r>
        <w:t xml:space="preserve">191-12345678-0-19</w:t>
      </w:r>
    </w:p>
    <w:p>
      <w:pPr>
        <w:numPr>
          <w:ilvl w:val="0"/>
          <w:numId w:val="1001"/>
        </w:numPr>
        <w:pStyle w:val="Compact"/>
      </w:pPr>
      <w:r>
        <w:rPr>
          <w:bCs/>
          <w:b/>
        </w:rPr>
        <w:t xml:space="preserve">IBAN:</w:t>
      </w:r>
      <w:r>
        <w:t xml:space="preserve"> </w:t>
      </w:r>
      <w:r>
        <w:t xml:space="preserve">PE18 0021 0000 1911 2345 6780 19</w:t>
      </w:r>
    </w:p>
    <w:p>
      <w:pPr>
        <w:numPr>
          <w:ilvl w:val="0"/>
          <w:numId w:val="1001"/>
        </w:numPr>
        <w:pStyle w:val="Compact"/>
      </w:pPr>
      <w:r>
        <w:rPr>
          <w:bCs/>
          <w:b/>
        </w:rPr>
        <w:t xml:space="preserve">Reference:</w:t>
      </w:r>
      <w:r>
        <w:t xml:space="preserve"> </w:t>
      </w:r>
      <w:r>
        <w:t xml:space="preserve">INV-2025-00347</w:t>
      </w:r>
    </w:p>
    <w:p>
      <w:pPr>
        <w:pStyle w:val="FirstParagraph"/>
      </w:pPr>
      <w:r>
        <w:t xml:space="preserve">Please ensure that all payments are made in Peruvian Soles (PEN) to the account specified above. This invoice is issued in accordance with the tax regulations of the Superintendencia Nacional de Aduanas y de Administración Tributaria (SUNAT) of Peru. The IGV (Impuesto General a las Ventas) at a rate of 18% has been applied to all services rendered as required by Peruvian tax law.</w:t>
      </w:r>
    </w:p>
    <w:p>
      <w:pPr>
        <w:pStyle w:val="BodyText"/>
      </w:pPr>
      <w:r>
        <w:t xml:space="preserve">As a certified Economist registered with the Colegio de Economistas del Perú (Lima Chapter, Registration No. 12847), all services described in this invoice were performed in full compliance with the professional ethical standards and technical guidelines established for economic consulting in the Republic of Peru. The analyses and recommendations provided reflect current data from INEI (Instituto Nacional de Estadística e Informática) and the Central Reserve Bank of Peru.</w:t>
      </w:r>
    </w:p>
    <w:p>
      <w:pPr>
        <w:pStyle w:val="BodyText"/>
      </w:pPr>
      <w:r>
        <w:t xml:space="preserve">Payment is due within thirty (30) calendar days from the issue date of this invoice. Late payments will be subject to a penalty of 1.5% per month as stipulated in the applicable contract. Please direct any questions or discrepancies regarding this invoice to the undersigned Economist at the contact details provided above.</w:t>
      </w:r>
    </w:p>
    <w:bookmarkEnd w:id="24"/>
    <w:p>
      <w:pPr>
        <w:pStyle w:val="BodyText"/>
      </w:pPr>
      <w:r>
        <w:rPr>
          <w:bCs/>
          <w:b/>
        </w:rPr>
        <w:t xml:space="preserve">Dr. Ricardo Mendoza Salazar</w:t>
      </w:r>
      <w:r>
        <w:t xml:space="preserve"> </w:t>
      </w:r>
      <w:r>
        <w:t xml:space="preserve">| Economist | RUC: 20567894321 | Lima, Peru</w:t>
      </w:r>
    </w:p>
    <w:p>
      <w:pPr>
        <w:pStyle w:val="BodyText"/>
      </w:pPr>
      <w:r>
        <w:t xml:space="preserve">This invoice was generated electronically and is valid without a physical signature in accordance with SUNAT regulations for electronic invoicing (Facturación Electrónica) in Peru.</w:t>
      </w:r>
    </w:p>
    <w:p>
      <w:pPr>
        <w:pStyle w:val="BodyText"/>
      </w:pPr>
      <w:r>
        <w:t xml:space="preserve">Document Code: INV-2025-00347 | Generated: 2025-06-15 09:32:15 (GMT-5)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Lima, Peru</dc:title>
  <dc:creator/>
  <dc:language>en</dc:language>
  <cp:keywords/>
  <dcterms:created xsi:type="dcterms:W3CDTF">2026-10-10T07:29:11Z</dcterms:created>
  <dcterms:modified xsi:type="dcterms:W3CDTF">2026-10-10T07:29:11Z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