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Philippines</w:t>
      </w:r>
      <w:r>
        <w:t xml:space="preserve"> </w:t>
      </w:r>
      <w:r>
        <w:t xml:space="preserve">Manila</w:t>
      </w:r>
    </w:p>
    <w:bookmarkStart w:id="20" w:name="the-economist"/>
    <w:p>
      <w:pPr>
        <w:pStyle w:val="Heading1"/>
      </w:pPr>
      <w:r>
        <w:t xml:space="preserve">THE ECONOMIST</w:t>
      </w:r>
    </w:p>
    <w:p>
      <w:pPr>
        <w:pStyle w:val="FirstParagraph"/>
      </w:pPr>
      <w:r>
        <w:t xml:space="preserve">Subscription &amp; Digital Services Division</w:t>
      </w:r>
    </w:p>
    <w:p>
      <w:pPr>
        <w:pStyle w:val="BodyText"/>
      </w:pPr>
      <w:r>
        <w:t xml:space="preserve">25 St James's Street, London SW1Y 4HU, United Kingdom</w:t>
      </w:r>
    </w:p>
    <w:p>
      <w:pPr>
        <w:pStyle w:val="BodyText"/>
      </w:pPr>
      <w:r>
        <w:t xml:space="preserve">Regional Office: 6th Floor, Ayala Center, Makati City, Philippines</w:t>
      </w:r>
    </w:p>
    <w:p>
      <w:pPr>
        <w:pStyle w:val="BodyText"/>
      </w:pPr>
      <w:r>
        <w:t xml:space="preserve">Tel: +63 (2) 8888-4520 | Email: subscriptions.ph@economist.com</w:t>
      </w:r>
    </w:p>
    <w:bookmarkEnd w:id="20"/>
    <w:bookmarkStart w:id="21" w:name="invoice"/>
    <w:p>
      <w:pPr>
        <w:pStyle w:val="Heading2"/>
      </w:pPr>
      <w:r>
        <w:t xml:space="preserve">INVOICE</w:t>
      </w:r>
    </w:p>
    <w:p>
      <w:pPr>
        <w:pStyle w:val="FirstParagraph"/>
      </w:pPr>
      <w:r>
        <w:t xml:space="preserve">Invoice No.: ECO-PHL-2025-04872</w:t>
      </w:r>
    </w:p>
    <w:p>
      <w:pPr>
        <w:pStyle w:val="BodyText"/>
      </w:pPr>
      <w:r>
        <w:t xml:space="preserve">Date Issued: June 15, 2025</w:t>
      </w:r>
    </w:p>
    <w:p>
      <w:pPr>
        <w:pStyle w:val="BodyText"/>
      </w:pPr>
      <w:r>
        <w:t xml:space="preserve">Due Date: July 15, 2025</w:t>
      </w:r>
    </w:p>
    <w:p>
      <w:pPr>
        <w:pStyle w:val="BodyText"/>
      </w:pPr>
      <w:r>
        <w:t xml:space="preserve">Payment Terms: Net 30 Days</w:t>
      </w:r>
    </w:p>
    <w:bookmarkEnd w:id="21"/>
    <w:bookmarkStart w:id="22" w:name="billed-to"/>
    <w:p>
      <w:pPr>
        <w:pStyle w:val="Heading3"/>
      </w:pPr>
      <w:r>
        <w:t xml:space="preserve">Billed To</w:t>
      </w:r>
    </w:p>
    <w:p>
      <w:pPr>
        <w:pStyle w:val="FirstParagraph"/>
      </w:pPr>
      <w:r>
        <w:t xml:space="preserve">Manila Business Intelligence Group, Inc.</w:t>
      </w:r>
    </w:p>
    <w:p>
      <w:pPr>
        <w:pStyle w:val="BodyText"/>
      </w:pPr>
      <w:r>
        <w:t xml:space="preserve">Attn: Mr. Ricardo S. Villanueva, Chief Financial Officer</w:t>
      </w:r>
    </w:p>
    <w:p>
      <w:pPr>
        <w:pStyle w:val="BodyText"/>
      </w:pPr>
      <w:r>
        <w:t xml:space="preserve">128th Street, Bonifacio Global City</w:t>
      </w:r>
    </w:p>
    <w:p>
      <w:pPr>
        <w:pStyle w:val="BodyText"/>
      </w:pPr>
      <w:r>
        <w:t xml:space="preserve">Taguig City, Metro Manila, Philippines 1634</w:t>
      </w:r>
    </w:p>
    <w:p>
      <w:pPr>
        <w:pStyle w:val="BodyText"/>
      </w:pPr>
      <w:r>
        <w:t xml:space="preserve">TIN: 201-456-789-000</w:t>
      </w:r>
    </w:p>
    <w:p>
      <w:pPr>
        <w:pStyle w:val="BodyText"/>
      </w:pPr>
      <w:r>
        <w:t xml:space="preserve">VAT Registration No.: 000-201-456-789</w:t>
      </w:r>
    </w:p>
    <w:p>
      <w:pPr>
        <w:pStyle w:val="BodyText"/>
      </w:pPr>
      <w:r>
        <w:t xml:space="preserve">Email: finance@mbigroup.ph</w:t>
      </w:r>
    </w:p>
    <w:bookmarkEnd w:id="22"/>
    <w:bookmarkStart w:id="23" w:name="shipped-delivered-to"/>
    <w:p>
      <w:pPr>
        <w:pStyle w:val="Heading3"/>
      </w:pPr>
      <w:r>
        <w:t xml:space="preserve">Shipped / Delivered To</w:t>
      </w:r>
    </w:p>
    <w:p>
      <w:pPr>
        <w:pStyle w:val="FirstParagraph"/>
      </w:pPr>
      <w:r>
        <w:t xml:space="preserve">Manila Business Intelligence Group, Inc.</w:t>
      </w:r>
    </w:p>
    <w:p>
      <w:pPr>
        <w:pStyle w:val="BodyText"/>
      </w:pPr>
      <w:r>
        <w:t xml:space="preserve">128th Street, Bonifacio Global City</w:t>
      </w:r>
    </w:p>
    <w:p>
      <w:pPr>
        <w:pStyle w:val="BodyText"/>
      </w:pPr>
      <w:r>
        <w:t xml:space="preserve">Taguig City, Metro Manila, Philippines 1634</w:t>
      </w:r>
    </w:p>
    <w:p>
      <w:pPr>
        <w:pStyle w:val="BodyText"/>
      </w:pPr>
      <w:r>
        <w:t xml:space="preserve">Delivery Method: Digital Access + Physical Print (Monthly)</w:t>
      </w:r>
    </w:p>
    <w:p>
      <w:pPr>
        <w:pStyle w:val="BodyText"/>
      </w:pPr>
      <w:r>
        <w:t xml:space="preserve">Recipient: Ms. Elena M. Santos, Head of Research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Period</w:t>
            </w:r>
          </w:p>
        </w:tc>
      </w:tr>
      <w:tr>
        <w:tc>
          <w:tcPr/>
          <w:p>
            <w:pPr>
              <w:pStyle w:val="Compact"/>
              <w:jc w:val="left"/>
            </w:pPr>
            <w:r>
              <w:t xml:space="preserve">1</w:t>
            </w:r>
          </w:p>
        </w:tc>
        <w:tc>
          <w:tcPr/>
          <w:p>
            <w:pPr>
              <w:pStyle w:val="Compact"/>
              <w:jc w:val="left"/>
            </w:pPr>
            <w:r>
              <w:rPr>
                <w:bCs/>
                <w:b/>
              </w:rPr>
              <w:t xml:space="preserve">The Economist</w:t>
            </w:r>
            <w:r>
              <w:t xml:space="preserve"> </w:t>
            </w:r>
            <w:r>
              <w:t xml:space="preserve">Premium Digital Subscription – Full Access to all articles, data visualizations, and the Economist Intelligence Unit (EIU) reports. Includes access via web, iOS, and Android platforms for up to five (5) concurrent users within the Manila office network.</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Jul 2025 – Jun 2026</w:t>
            </w:r>
          </w:p>
        </w:tc>
      </w:tr>
      <w:tr>
        <w:tc>
          <w:tcPr/>
          <w:p>
            <w:pPr>
              <w:pStyle w:val="Compact"/>
              <w:jc w:val="left"/>
            </w:pPr>
            <w:r>
              <w:t xml:space="preserve">2</w:t>
            </w:r>
          </w:p>
        </w:tc>
        <w:tc>
          <w:tcPr/>
          <w:p>
            <w:pPr>
              <w:pStyle w:val="Compact"/>
              <w:jc w:val="left"/>
            </w:pPr>
            <w:r>
              <w:rPr>
                <w:bCs/>
                <w:b/>
              </w:rPr>
              <w:t xml:space="preserve">The Economist</w:t>
            </w:r>
            <w:r>
              <w:t xml:space="preserve"> </w:t>
            </w:r>
            <w:r>
              <w:t xml:space="preserve">Print Edition – Monthly hardcopy delivery to the Manila office address. Includes the weekly magazine (four issues per month) with standard domestic courier shipping within Metro Manila and surrounding provinces.</w:t>
            </w:r>
          </w:p>
        </w:tc>
        <w:tc>
          <w:tcPr/>
          <w:p>
            <w:pPr>
              <w:pStyle w:val="Compact"/>
              <w:jc w:val="left"/>
            </w:pPr>
            <w:r>
              <w:t xml:space="preserve">48 issues</w:t>
            </w:r>
          </w:p>
        </w:tc>
        <w:tc>
          <w:tcPr/>
          <w:p>
            <w:pPr>
              <w:pStyle w:val="Compact"/>
              <w:jc w:val="left"/>
            </w:pPr>
            <w:r>
              <w:t xml:space="preserve">850.00</w:t>
            </w:r>
          </w:p>
        </w:tc>
        <w:tc>
          <w:tcPr/>
          <w:p>
            <w:pPr>
              <w:pStyle w:val="Compact"/>
              <w:jc w:val="left"/>
            </w:pPr>
            <w:r>
              <w:t xml:space="preserve">40,800.00</w:t>
            </w:r>
          </w:p>
        </w:tc>
        <w:tc>
          <w:tcPr/>
          <w:p>
            <w:pPr>
              <w:pStyle w:val="Compact"/>
              <w:jc w:val="left"/>
            </w:pPr>
            <w:r>
              <w:t xml:space="preserve">Jul 2025 – Jun 2026</w:t>
            </w:r>
          </w:p>
        </w:tc>
      </w:tr>
      <w:tr>
        <w:tc>
          <w:tcPr/>
          <w:p>
            <w:pPr>
              <w:pStyle w:val="Compact"/>
              <w:jc w:val="left"/>
            </w:pPr>
            <w:r>
              <w:t xml:space="preserve">3</w:t>
            </w:r>
          </w:p>
        </w:tc>
        <w:tc>
          <w:tcPr/>
          <w:p>
            <w:pPr>
              <w:pStyle w:val="Compact"/>
              <w:jc w:val="left"/>
            </w:pPr>
            <w:r>
              <w:rPr>
                <w:bCs/>
                <w:b/>
              </w:rPr>
              <w:t xml:space="preserve">The Economist</w:t>
            </w:r>
            <w:r>
              <w:t xml:space="preserve"> </w:t>
            </w:r>
            <w:r>
              <w:t xml:space="preserve">Intelligence Unit (EIU) Country Risk Report – Philippines &amp; ASEAN Edition. Annual comprehensive economic analysis covering GDP projections, political risk assessment, currency outlook, and sector-specific forecasts for the Philippines and the broader ASEAN region.</w:t>
            </w:r>
          </w:p>
        </w:tc>
        <w:tc>
          <w:tcPr/>
          <w:p>
            <w:pPr>
              <w:pStyle w:val="Compact"/>
              <w:jc w:val="left"/>
            </w:pPr>
            <w:r>
              <w:t xml:space="preserve">1 copy</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Annual (2025)</w:t>
            </w:r>
          </w:p>
        </w:tc>
      </w:tr>
      <w:tr>
        <w:tc>
          <w:tcPr/>
          <w:p>
            <w:pPr>
              <w:pStyle w:val="Compact"/>
              <w:jc w:val="left"/>
            </w:pPr>
            <w:r>
              <w:t xml:space="preserve">4</w:t>
            </w:r>
          </w:p>
        </w:tc>
        <w:tc>
          <w:tcPr/>
          <w:p>
            <w:pPr>
              <w:pStyle w:val="Compact"/>
              <w:jc w:val="left"/>
            </w:pPr>
            <w:r>
              <w:rPr>
                <w:bCs/>
                <w:b/>
              </w:rPr>
              <w:t xml:space="preserve">The Economist</w:t>
            </w:r>
            <w:r>
              <w:t xml:space="preserve"> </w:t>
            </w:r>
            <w:r>
              <w:t xml:space="preserve">Events &amp; Webinars – Annual pass for the Manila-based Economist Forum on Southeast Asian Economic Policy. Includes virtual attendance, recorded sessions, and downloadable presentation materials for the fiscal year.</w:t>
            </w:r>
          </w:p>
        </w:tc>
        <w:tc>
          <w:tcPr/>
          <w:p>
            <w:pPr>
              <w:pStyle w:val="Compact"/>
              <w:jc w:val="left"/>
            </w:pPr>
            <w:r>
              <w:t xml:space="preserve">1 pass</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Annual (2025)</w:t>
            </w:r>
          </w:p>
        </w:tc>
      </w:tr>
      <w:tr>
        <w:tc>
          <w:tcPr/>
          <w:p>
            <w:pPr>
              <w:pStyle w:val="Compact"/>
              <w:jc w:val="left"/>
            </w:pPr>
            <w:r>
              <w:t xml:space="preserve">5</w:t>
            </w:r>
          </w:p>
        </w:tc>
        <w:tc>
          <w:tcPr/>
          <w:p>
            <w:pPr>
              <w:pStyle w:val="Compact"/>
              <w:jc w:val="left"/>
            </w:pPr>
            <w:r>
              <w:rPr>
                <w:bCs/>
                <w:b/>
              </w:rPr>
              <w:t xml:space="preserve">The Economist</w:t>
            </w:r>
            <w:r>
              <w:t xml:space="preserve"> </w:t>
            </w:r>
            <w:r>
              <w:t xml:space="preserve">Custom Data Licensing – Access to the Economist Data API for integration into the client's internal Manila-based economic dashboard. Includes 50,000 API calls per month, dedicated technical support, and quarterly data refreshes.</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c>
          <w:tcPr/>
          <w:p>
            <w:pPr>
              <w:pStyle w:val="Compact"/>
              <w:jc w:val="left"/>
            </w:pPr>
            <w:r>
              <w:t xml:space="preserve">Jul 2025 – Jun 2026</w:t>
            </w:r>
          </w:p>
        </w:tc>
      </w:tr>
      <w:tr>
        <w:tc>
          <w:tcPr/>
          <w:p>
            <w:pPr>
              <w:pStyle w:val="Compact"/>
              <w:jc w:val="left"/>
            </w:pPr>
            <w:r>
              <w:t xml:space="preserve">6</w:t>
            </w:r>
          </w:p>
        </w:tc>
        <w:tc>
          <w:tcPr/>
          <w:p>
            <w:pPr>
              <w:pStyle w:val="Compact"/>
              <w:jc w:val="left"/>
            </w:pPr>
            <w:r>
              <w:rPr>
                <w:bCs/>
                <w:b/>
              </w:rPr>
              <w:t xml:space="preserve">The Economist</w:t>
            </w:r>
            <w:r>
              <w:t xml:space="preserve"> </w:t>
            </w:r>
            <w:r>
              <w:t xml:space="preserve">Onboarding &amp; Training – Initial setup session for the Manila team, including platform orientation, API integration guidance, and a two-hour workshop on utilizing EIU analytics for Philippine market research. Conducted at the client's BGC office.</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734,800.00</w:t>
            </w:r>
          </w:p>
        </w:tc>
      </w:tr>
      <w:tr>
        <w:tc>
          <w:tcPr/>
          <w:p>
            <w:pPr>
              <w:pStyle w:val="Compact"/>
              <w:jc w:val="left"/>
            </w:pPr>
            <w:r>
              <w:t xml:space="preserve">VAT (12% – Republic of the Philippines)</w:t>
            </w:r>
          </w:p>
        </w:tc>
        <w:tc>
          <w:tcPr/>
          <w:p>
            <w:pPr>
              <w:pStyle w:val="Compact"/>
              <w:jc w:val="left"/>
            </w:pPr>
            <w:r>
              <w:t xml:space="preserve">88,176.00</w:t>
            </w:r>
          </w:p>
        </w:tc>
      </w:tr>
      <w:tr>
        <w:tc>
          <w:tcPr/>
          <w:p>
            <w:pPr>
              <w:pStyle w:val="Compact"/>
              <w:jc w:val="left"/>
            </w:pPr>
            <w:r>
              <w:t xml:space="preserve">Withholding Tax (10% – BIR Compliance)</w:t>
            </w:r>
          </w:p>
        </w:tc>
        <w:tc>
          <w:tcPr/>
          <w:p>
            <w:pPr>
              <w:pStyle w:val="Compact"/>
              <w:jc w:val="left"/>
            </w:pPr>
            <w:r>
              <w:t xml:space="preserve">(73,480.00)</w:t>
            </w:r>
          </w:p>
        </w:tc>
      </w:tr>
      <w:tr>
        <w:tc>
          <w:tcPr/>
          <w:p>
            <w:pPr>
              <w:pStyle w:val="Compact"/>
              <w:jc w:val="left"/>
            </w:pPr>
            <w:r>
              <w:t xml:space="preserve">Shipping &amp; Handling (Metro Manila)</w:t>
            </w:r>
          </w:p>
        </w:tc>
        <w:tc>
          <w:tcPr/>
          <w:p>
            <w:pPr>
              <w:pStyle w:val="Compact"/>
              <w:jc w:val="left"/>
            </w:pPr>
            <w:r>
              <w:t xml:space="preserve">2,400.00</w:t>
            </w:r>
          </w:p>
        </w:tc>
      </w:tr>
      <w:tr>
        <w:tc>
          <w:tcPr/>
          <w:p>
            <w:pPr>
              <w:pStyle w:val="Compact"/>
              <w:jc w:val="left"/>
            </w:pPr>
            <w:r>
              <w:t xml:space="preserve">Grand Total Due</w:t>
            </w:r>
          </w:p>
        </w:tc>
        <w:tc>
          <w:tcPr/>
          <w:p>
            <w:pPr>
              <w:pStyle w:val="Compact"/>
              <w:jc w:val="left"/>
            </w:pPr>
            <w:r>
              <w:t xml:space="preserve">751,896.00</w:t>
            </w:r>
          </w:p>
        </w:tc>
      </w:tr>
    </w:tbl>
    <w:bookmarkStart w:id="24" w:name="important-notes-terms"/>
    <w:p>
      <w:pPr>
        <w:pStyle w:val="Heading3"/>
      </w:pPr>
      <w:r>
        <w:t xml:space="preserve">Important Notes &amp; Terms</w:t>
      </w:r>
    </w:p>
    <w:p>
      <w:pPr>
        <w:pStyle w:val="FirstParagraph"/>
      </w:pPr>
      <w:r>
        <w:t xml:space="preserve">This invoice is issued by The Economist Subscription &amp; Digital Services Division for the provision of editorial, analytical, and digital services to Manila Business Intelligence Group, Inc., located in Metro Manila, Philippines. All services described herein are governed by the Master Subscription Agreement dated March 1, 2025, between The Economist and the client.</w:t>
      </w:r>
    </w:p>
    <w:p>
      <w:pPr>
        <w:pStyle w:val="BodyText"/>
      </w:pPr>
      <w:r>
        <w:t xml:space="preserve">The Philippine Value-Added Tax (VAT) of 12% has been applied in accordance with the National Internal Revenue Code of the Republic of the Philippines (Batas Pambansa Blg. 177, as amended). The 10% withholding tax has been deducted as required by the Bureau of Internal Revenue (BIR) for services rendered to a Philippine-registered entity. The client is responsible for remitting the withheld tax to the BIR within the prescribed period.</w:t>
      </w:r>
    </w:p>
    <w:p>
      <w:pPr>
        <w:pStyle w:val="BodyText"/>
      </w:pPr>
      <w:r>
        <w:t xml:space="preserve">All digital access credentials for The Economist platform will be activated within three (3) business days of full payment confirmation. Physical print editions will commence delivery in the first week of July 2025 to the designated Manila address. Any changes to the delivery address within Metro Manila must be communicated in writing at least five (5) business days prior to the scheduled delivery date.</w:t>
      </w:r>
    </w:p>
    <w:p>
      <w:pPr>
        <w:pStyle w:val="BodyText"/>
      </w:pPr>
      <w:r>
        <w:t xml:space="preserve">Payment is due within thirty (30) calendar days from the date of this invoice. Late payments shall be subject to a 1.5% monthly interest charge as stipulated in the Master Subscription Agreement. The client is advised to reference Invoice No. ECO-PHL-2025-04872 in all correspondence and remittances.</w:t>
      </w:r>
    </w:p>
    <w:bookmarkEnd w:id="24"/>
    <w:bookmarkStart w:id="25" w:name="payment-instructions"/>
    <w:p>
      <w:pPr>
        <w:pStyle w:val="Heading3"/>
      </w:pPr>
      <w:r>
        <w:t xml:space="preserve">Payment Instructions</w:t>
      </w:r>
    </w:p>
    <w:p>
      <w:pPr>
        <w:pStyle w:val="FirstParagraph"/>
      </w:pPr>
      <w:r>
        <w:rPr>
          <w:bCs/>
          <w:b/>
        </w:rPr>
        <w:t xml:space="preserve">Bank Transfer (Preferred):</w:t>
      </w:r>
      <w:r>
        <w:t xml:space="preserve"> </w:t>
      </w:r>
      <w:r>
        <w:t xml:space="preserve">BDO Unibank, Inc. – Account Name: The Economist Philippines Ltd. – Account No. 0012-3456-7890-123 – Branch: Ayala Center, Makati City, Philippines – SWIFT Code: BDOUPHMM</w:t>
      </w:r>
    </w:p>
    <w:p>
      <w:pPr>
        <w:pStyle w:val="BodyText"/>
      </w:pPr>
      <w:r>
        <w:rPr>
          <w:bCs/>
          <w:b/>
        </w:rPr>
        <w:t xml:space="preserve">Online Payment:</w:t>
      </w:r>
      <w:r>
        <w:t xml:space="preserve"> </w:t>
      </w:r>
      <w:r>
        <w:t xml:space="preserve">Via The Economist secure payment portal at economist.com/subscribe/payments using the invoice reference number.</w:t>
      </w:r>
    </w:p>
    <w:p>
      <w:pPr>
        <w:pStyle w:val="BodyText"/>
      </w:pPr>
      <w:r>
        <w:rPr>
          <w:bCs/>
          <w:b/>
        </w:rPr>
        <w:t xml:space="preserve">Cheque:</w:t>
      </w:r>
      <w:r>
        <w:t xml:space="preserve"> </w:t>
      </w:r>
      <w:r>
        <w:t xml:space="preserve">Payable to "The Economist Philippines Ltd." and mailed to the regional office address listed above.</w:t>
      </w:r>
    </w:p>
    <w:p>
      <w:pPr>
        <w:pStyle w:val="BodyText"/>
      </w:pPr>
      <w:r>
        <w:rPr>
          <w:bCs/>
          <w:b/>
        </w:rPr>
        <w:t xml:space="preserve">Remittance Advice:</w:t>
      </w:r>
      <w:r>
        <w:t xml:space="preserve"> </w:t>
      </w:r>
      <w:r>
        <w:t xml:space="preserve">Please email a copy of the bank confirmation or payment receipt to subscriptions.ph@economist.com with the subject line "Payment for Invoice ECO-PHL-2025-04872 – Manila, Philippines."</w:t>
      </w:r>
    </w:p>
    <w:bookmarkEnd w:id="25"/>
    <w:p>
      <w:pPr>
        <w:pStyle w:val="BodyText"/>
      </w:pPr>
      <w:r>
        <w:rPr>
          <w:bCs/>
          <w:b/>
        </w:rPr>
        <w:t xml:space="preserve">The Economist</w:t>
      </w:r>
      <w:r>
        <w:t xml:space="preserve"> </w:t>
      </w:r>
      <w:r>
        <w:t xml:space="preserve">– Subscription &amp; Digital Services Division | Regional Office: Philippines</w:t>
      </w:r>
    </w:p>
    <w:p>
      <w:pPr>
        <w:pStyle w:val="BodyText"/>
      </w:pPr>
      <w:r>
        <w:t xml:space="preserve">6th Floor, Ayala Center, Makati City, Metro Manila, Philippines 1226</w:t>
      </w:r>
    </w:p>
    <w:p>
      <w:pPr>
        <w:pStyle w:val="BodyText"/>
      </w:pPr>
      <w:r>
        <w:t xml:space="preserve">Registered with the Securities and Exchange Commission (SEC) of the Philippines | BIR-Registered</w:t>
      </w:r>
    </w:p>
    <w:p>
      <w:pPr>
        <w:pStyle w:val="BodyText"/>
      </w:pPr>
      <w:r>
        <w:t xml:space="preserve">This is a computer-generated invoice and does not require a signature to be valid.</w:t>
      </w:r>
    </w:p>
    <w:p>
      <w:pPr>
        <w:pStyle w:val="BodyText"/>
      </w:pPr>
      <w:r>
        <w:t xml:space="preserve">For inquiries regarding this invoice, please contact our Manila billing team at +63 (2) 8888-4520 or billing.ph@economist.com.</w:t>
      </w:r>
    </w:p>
    <w:p>
      <w:pPr>
        <w:pStyle w:val="BodyText"/>
      </w:pPr>
      <w:r>
        <w:t xml:space="preserve">PAID – PENDING CONFIRMATION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 Philippines Manila</dc:title>
  <dc:creator/>
  <dc:language>en</dc:language>
  <cp:keywords/>
  <dcterms:created xsi:type="dcterms:W3CDTF">2026-10-10T01:22:20Z</dcterms:created>
  <dcterms:modified xsi:type="dcterms:W3CDTF">2026-10-10T01:22:20Z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