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nile-valley-economic-consultancy"/>
    <w:p>
      <w:pPr>
        <w:pStyle w:val="Heading1"/>
      </w:pPr>
      <w:r>
        <w:t xml:space="preserve">Nile Valley Economic Consultancy</w:t>
      </w:r>
    </w:p>
    <w:p>
      <w:pPr>
        <w:pStyle w:val="FirstParagraph"/>
      </w:pPr>
      <w:r>
        <w:t xml:space="preserve">Professional Economist Services &amp; Advisory</w:t>
      </w:r>
    </w:p>
    <w:p>
      <w:pPr>
        <w:pStyle w:val="BodyText"/>
      </w:pPr>
      <w:r>
        <w:t xml:space="preserve">Office 42, Al-Muraj Building, Al-Riyad Street</w:t>
      </w:r>
    </w:p>
    <w:p>
      <w:pPr>
        <w:pStyle w:val="BodyText"/>
      </w:pPr>
      <w:r>
        <w:t xml:space="preserve">Khartoum, Sudan 11111</w:t>
      </w:r>
    </w:p>
    <w:p>
      <w:pPr>
        <w:pStyle w:val="BodyText"/>
      </w:pPr>
      <w:r>
        <w:t xml:space="preserve">Tel: +249-183-456-789 | Email: info@nilevalleyecon.sd</w:t>
      </w:r>
    </w:p>
    <w:p>
      <w:pPr>
        <w:pStyle w:val="BodyText"/>
      </w:pPr>
      <w:r>
        <w:t xml:space="preserve">CR No: SD-2019-EC-4472 | VAT Reg: 100-4472-881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NVEC-2025-0347</w:t>
      </w:r>
    </w:p>
    <w:p>
      <w:pPr>
        <w:pStyle w:val="BodyText"/>
      </w:pPr>
      <w:r>
        <w:rPr>
          <w:bCs/>
          <w:b/>
        </w:rPr>
        <w:t xml:space="preserve">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ECO-KRT-2025-Q2</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Sudan National Economic Planning Authority</w:t>
      </w:r>
    </w:p>
    <w:p>
      <w:pPr>
        <w:pStyle w:val="BodyText"/>
      </w:pPr>
      <w:r>
        <w:t xml:space="preserve">Ministry of Finance &amp; Economic Planning</w:t>
      </w:r>
    </w:p>
    <w:p>
      <w:pPr>
        <w:pStyle w:val="BodyText"/>
      </w:pPr>
      <w:r>
        <w:t xml:space="preserve">Al-Khadim Street, Al-Muraj District</w:t>
      </w:r>
    </w:p>
    <w:p>
      <w:pPr>
        <w:pStyle w:val="BodyText"/>
      </w:pPr>
      <w:r>
        <w:t xml:space="preserve">Khartoum, Sudan 11111</w:t>
      </w:r>
    </w:p>
    <w:p>
      <w:pPr>
        <w:pStyle w:val="BodyText"/>
      </w:pPr>
      <w:r>
        <w:t xml:space="preserve">Attn: Dr. Ahmed El-Tahir, Director of Macroeconomic Policy</w:t>
      </w:r>
    </w:p>
    <w:p>
      <w:pPr>
        <w:pStyle w:val="BodyText"/>
      </w:pPr>
      <w:r>
        <w:t xml:space="preserve">Tel: +249-183-220-115</w:t>
      </w:r>
    </w:p>
    <w:bookmarkEnd w:id="22"/>
    <w:bookmarkStart w:id="23" w:name="prepared-by"/>
    <w:p>
      <w:pPr>
        <w:pStyle w:val="Heading3"/>
      </w:pPr>
      <w:r>
        <w:t xml:space="preserve">Prepared By</w:t>
      </w:r>
    </w:p>
    <w:p>
      <w:pPr>
        <w:pStyle w:val="FirstParagraph"/>
      </w:pPr>
      <w:r>
        <w:rPr>
          <w:bCs/>
          <w:b/>
        </w:rPr>
        <w:t xml:space="preserve">Prof. Salma Ibrahim Hassan</w:t>
      </w:r>
    </w:p>
    <w:p>
      <w:pPr>
        <w:pStyle w:val="BodyText"/>
      </w:pPr>
      <w:r>
        <w:t xml:space="preserve">Senior Economist &amp; Lead Consultant</w:t>
      </w:r>
    </w:p>
    <w:p>
      <w:pPr>
        <w:pStyle w:val="BodyText"/>
      </w:pPr>
      <w:r>
        <w:t xml:space="preserve">PhD in Development Economics, University of Khartoum</w:t>
      </w:r>
    </w:p>
    <w:p>
      <w:pPr>
        <w:pStyle w:val="BodyText"/>
      </w:pPr>
      <w:r>
        <w:t xml:space="preserve">Member, Sudanese Economic Association</w:t>
      </w:r>
    </w:p>
    <w:p>
      <w:pPr>
        <w:pStyle w:val="BodyText"/>
      </w:pPr>
      <w:r>
        <w:t xml:space="preserve">Licensed Economist, Sudan Central Bank</w:t>
      </w:r>
    </w:p>
    <w:p>
      <w:pPr>
        <w:pStyle w:val="BodyText"/>
      </w:pPr>
      <w:r>
        <w:t xml:space="preserve">License No: SEB-EC-2018-0091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Economist Services</w:t>
            </w:r>
          </w:p>
        </w:tc>
        <w:tc>
          <w:tcPr/>
          <w:p>
            <w:pPr>
              <w:pStyle w:val="Compact"/>
              <w:jc w:val="left"/>
            </w:pPr>
            <w:r>
              <w:t xml:space="preserve">Duration</w:t>
            </w:r>
          </w:p>
        </w:tc>
        <w:tc>
          <w:tcPr/>
          <w:p>
            <w:pPr>
              <w:pStyle w:val="Compact"/>
              <w:jc w:val="left"/>
            </w:pPr>
            <w:r>
              <w:t xml:space="preserve">Rate (SDG)</w:t>
            </w:r>
          </w:p>
        </w:tc>
        <w:tc>
          <w:tcPr/>
          <w:p>
            <w:pPr>
              <w:pStyle w:val="Compact"/>
              <w:jc w:val="left"/>
            </w:pPr>
            <w:r>
              <w:t xml:space="preserve">Amount (SDG)</w:t>
            </w:r>
          </w:p>
        </w:tc>
        <w:tc>
          <w:tcPr/>
          <w:p>
            <w:pPr>
              <w:pStyle w:val="Compact"/>
              <w:jc w:val="left"/>
            </w:pPr>
            <w:r>
              <w:t xml:space="preserve">VAT 10%</w:t>
            </w:r>
          </w:p>
        </w:tc>
      </w:tr>
      <w:tr>
        <w:tc>
          <w:tcPr/>
          <w:p>
            <w:pPr>
              <w:pStyle w:val="Compact"/>
              <w:jc w:val="left"/>
            </w:pPr>
            <w:r>
              <w:t xml:space="preserve">1</w:t>
            </w:r>
          </w:p>
        </w:tc>
        <w:tc>
          <w:tcPr/>
          <w:p>
            <w:pPr>
              <w:pStyle w:val="Compact"/>
              <w:jc w:val="left"/>
            </w:pPr>
            <w:r>
              <w:rPr>
                <w:bCs/>
                <w:b/>
              </w:rPr>
              <w:t xml:space="preserve">Macroeconomic Analysis &amp; Forecasting</w:t>
            </w:r>
            <w:r>
              <w:t xml:space="preserve"> </w:t>
            </w:r>
            <w:r>
              <w:t xml:space="preserve">– Comprehensive review of Sudan's GDP trajectory, inflation trends, and fiscal balance for the 2025 fiscal year. Includes quarterly projections and risk assessment for the Khartoum metropolitan economy.</w:t>
            </w:r>
          </w:p>
        </w:tc>
        <w:tc>
          <w:tcPr/>
          <w:p>
            <w:pPr>
              <w:pStyle w:val="Compact"/>
              <w:jc w:val="left"/>
            </w:pPr>
            <w:r>
              <w:t xml:space="preserve">4 weeks</w:t>
            </w:r>
          </w:p>
        </w:tc>
        <w:tc>
          <w:tcPr/>
          <w:p>
            <w:pPr>
              <w:pStyle w:val="Compact"/>
              <w:jc w:val="left"/>
            </w:pPr>
            <w:r>
              <w:t xml:space="preserve">85,000</w:t>
            </w:r>
          </w:p>
        </w:tc>
        <w:tc>
          <w:tcPr/>
          <w:p>
            <w:pPr>
              <w:pStyle w:val="Compact"/>
              <w:jc w:val="left"/>
            </w:pPr>
            <w:r>
              <w:t xml:space="preserve">340,000</w:t>
            </w:r>
          </w:p>
        </w:tc>
        <w:tc>
          <w:tcPr/>
          <w:p>
            <w:pPr>
              <w:pStyle w:val="Compact"/>
              <w:jc w:val="left"/>
            </w:pPr>
            <w:r>
              <w:t xml:space="preserve">34,000</w:t>
            </w:r>
          </w:p>
        </w:tc>
      </w:tr>
      <w:tr>
        <w:tc>
          <w:tcPr/>
          <w:p>
            <w:pPr>
              <w:pStyle w:val="Compact"/>
              <w:jc w:val="left"/>
            </w:pPr>
            <w:r>
              <w:t xml:space="preserve">2</w:t>
            </w:r>
          </w:p>
        </w:tc>
        <w:tc>
          <w:tcPr/>
          <w:p>
            <w:pPr>
              <w:pStyle w:val="Compact"/>
              <w:jc w:val="left"/>
            </w:pPr>
            <w:r>
              <w:rPr>
                <w:bCs/>
                <w:b/>
              </w:rPr>
              <w:t xml:space="preserve">Trade Policy Advisory for Sudan Khartoum</w:t>
            </w:r>
            <w:r>
              <w:t xml:space="preserve"> </w:t>
            </w:r>
            <w:r>
              <w:t xml:space="preserve">– Detailed analysis of import/export dynamics, tariff structure recommendations, and bilateral trade agreement impact assessment for the port of Khartoum and surrounding commercial zones.</w:t>
            </w:r>
          </w:p>
        </w:tc>
        <w:tc>
          <w:tcPr/>
          <w:p>
            <w:pPr>
              <w:pStyle w:val="Compact"/>
              <w:jc w:val="left"/>
            </w:pPr>
            <w:r>
              <w:t xml:space="preserve">3 weeks</w:t>
            </w:r>
          </w:p>
        </w:tc>
        <w:tc>
          <w:tcPr/>
          <w:p>
            <w:pPr>
              <w:pStyle w:val="Compact"/>
              <w:jc w:val="left"/>
            </w:pPr>
            <w:r>
              <w:t xml:space="preserve">72,000</w:t>
            </w:r>
          </w:p>
        </w:tc>
        <w:tc>
          <w:tcPr/>
          <w:p>
            <w:pPr>
              <w:pStyle w:val="Compact"/>
              <w:jc w:val="left"/>
            </w:pPr>
            <w:r>
              <w:t xml:space="preserve">216,000</w:t>
            </w:r>
          </w:p>
        </w:tc>
        <w:tc>
          <w:tcPr/>
          <w:p>
            <w:pPr>
              <w:pStyle w:val="Compact"/>
              <w:jc w:val="left"/>
            </w:pPr>
            <w:r>
              <w:t xml:space="preserve">21,600</w:t>
            </w:r>
          </w:p>
        </w:tc>
      </w:tr>
      <w:tr>
        <w:tc>
          <w:tcPr/>
          <w:p>
            <w:pPr>
              <w:pStyle w:val="Compact"/>
              <w:jc w:val="left"/>
            </w:pPr>
            <w:r>
              <w:t xml:space="preserve">3</w:t>
            </w:r>
          </w:p>
        </w:tc>
        <w:tc>
          <w:tcPr/>
          <w:p>
            <w:pPr>
              <w:pStyle w:val="Compact"/>
              <w:jc w:val="left"/>
            </w:pPr>
            <w:r>
              <w:rPr>
                <w:bCs/>
                <w:b/>
              </w:rPr>
              <w:t xml:space="preserve">Monetary Policy Review &amp; Central Bank Consultation</w:t>
            </w:r>
            <w:r>
              <w:t xml:space="preserve"> </w:t>
            </w:r>
            <w:r>
              <w:t xml:space="preserve">– Independent economist assessment of the Bank of Sudan's current monetary framework, interest rate policy effectiveness, and liquidity management strategies for the Khartoum financial district.</w:t>
            </w:r>
          </w:p>
        </w:tc>
        <w:tc>
          <w:tcPr/>
          <w:p>
            <w:pPr>
              <w:pStyle w:val="Compact"/>
              <w:jc w:val="left"/>
            </w:pPr>
            <w:r>
              <w:t xml:space="preserve">2 weeks</w:t>
            </w:r>
          </w:p>
        </w:tc>
        <w:tc>
          <w:tcPr/>
          <w:p>
            <w:pPr>
              <w:pStyle w:val="Compact"/>
              <w:jc w:val="left"/>
            </w:pPr>
            <w:r>
              <w:t xml:space="preserve">95,000</w:t>
            </w:r>
          </w:p>
        </w:tc>
        <w:tc>
          <w:tcPr/>
          <w:p>
            <w:pPr>
              <w:pStyle w:val="Compact"/>
              <w:jc w:val="left"/>
            </w:pPr>
            <w:r>
              <w:t xml:space="preserve">190,000</w:t>
            </w:r>
          </w:p>
        </w:tc>
        <w:tc>
          <w:tcPr/>
          <w:p>
            <w:pPr>
              <w:pStyle w:val="Compact"/>
              <w:jc w:val="left"/>
            </w:pPr>
            <w:r>
              <w:t xml:space="preserve">19,000</w:t>
            </w:r>
          </w:p>
        </w:tc>
      </w:tr>
      <w:tr>
        <w:tc>
          <w:tcPr/>
          <w:p>
            <w:pPr>
              <w:pStyle w:val="Compact"/>
              <w:jc w:val="left"/>
            </w:pPr>
            <w:r>
              <w:t xml:space="preserve">4</w:t>
            </w:r>
          </w:p>
        </w:tc>
        <w:tc>
          <w:tcPr/>
          <w:p>
            <w:pPr>
              <w:pStyle w:val="Compact"/>
              <w:jc w:val="left"/>
            </w:pPr>
            <w:r>
              <w:rPr>
                <w:bCs/>
                <w:b/>
              </w:rPr>
              <w:t xml:space="preserve">Development Economics Workshop &amp; Training</w:t>
            </w:r>
            <w:r>
              <w:t xml:space="preserve"> </w:t>
            </w:r>
            <w:r>
              <w:t xml:space="preserve">– Two-day intensive workshop for government economists and policy analysts in Khartoum covering advanced econometric modeling, structural adjustment frameworks, and sustainable development indicators.</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24,000</w:t>
            </w:r>
          </w:p>
        </w:tc>
      </w:tr>
      <w:tr>
        <w:tc>
          <w:tcPr/>
          <w:p>
            <w:pPr>
              <w:pStyle w:val="Compact"/>
              <w:jc w:val="left"/>
            </w:pPr>
            <w:r>
              <w:t xml:space="preserve">5</w:t>
            </w:r>
          </w:p>
        </w:tc>
        <w:tc>
          <w:tcPr/>
          <w:p>
            <w:pPr>
              <w:pStyle w:val="Compact"/>
              <w:jc w:val="left"/>
            </w:pPr>
            <w:r>
              <w:rPr>
                <w:bCs/>
                <w:b/>
              </w:rPr>
              <w:t xml:space="preserve">Economic Impact Assessment Report</w:t>
            </w:r>
            <w:r>
              <w:t xml:space="preserve"> </w:t>
            </w:r>
            <w:r>
              <w:t xml:space="preserve">– Full written report (200+ pages) documenting the economic consequences of recent infrastructure projects in Sudan Khartoum, including employment effects, multiplier analysis, and long-term growth implications for the national economy.</w:t>
            </w:r>
          </w:p>
        </w:tc>
        <w:tc>
          <w:tcPr/>
          <w:p>
            <w:pPr>
              <w:pStyle w:val="Compact"/>
              <w:jc w:val="left"/>
            </w:pPr>
            <w:r>
              <w:t xml:space="preserve">6 weeks</w:t>
            </w:r>
          </w:p>
        </w:tc>
        <w:tc>
          <w:tcPr/>
          <w:p>
            <w:pPr>
              <w:pStyle w:val="Compact"/>
              <w:jc w:val="left"/>
            </w:pPr>
            <w:r>
              <w:t xml:space="preserve">110,000</w:t>
            </w:r>
          </w:p>
        </w:tc>
        <w:tc>
          <w:tcPr/>
          <w:p>
            <w:pPr>
              <w:pStyle w:val="Compact"/>
              <w:jc w:val="left"/>
            </w:pPr>
            <w:r>
              <w:t xml:space="preserve">660,000</w:t>
            </w:r>
          </w:p>
        </w:tc>
        <w:tc>
          <w:tcPr/>
          <w:p>
            <w:pPr>
              <w:pStyle w:val="Compact"/>
              <w:jc w:val="left"/>
            </w:pPr>
            <w:r>
              <w:t xml:space="preserve">66,000</w:t>
            </w:r>
          </w:p>
        </w:tc>
      </w:tr>
      <w:tr>
        <w:tc>
          <w:tcPr/>
          <w:p>
            <w:pPr>
              <w:pStyle w:val="Compact"/>
              <w:jc w:val="left"/>
            </w:pPr>
            <w:r>
              <w:t xml:space="preserve">6</w:t>
            </w:r>
          </w:p>
        </w:tc>
        <w:tc>
          <w:tcPr/>
          <w:p>
            <w:pPr>
              <w:pStyle w:val="Compact"/>
              <w:jc w:val="left"/>
            </w:pPr>
            <w:r>
              <w:rPr>
                <w:bCs/>
                <w:b/>
              </w:rPr>
              <w:t xml:space="preserve">Advisory Retainer – Ongoing Economist Support</w:t>
            </w:r>
            <w:r>
              <w:t xml:space="preserve"> </w:t>
            </w:r>
            <w:r>
              <w:t xml:space="preserve">– Monthly availability for ad-hoc consultations, data interpretation, policy brief drafting, and emergency economic analysis for the Sudan National Economic Planning Authority based in Khartoum.</w:t>
            </w:r>
          </w:p>
        </w:tc>
        <w:tc>
          <w:tcPr/>
          <w:p>
            <w:pPr>
              <w:pStyle w:val="Compact"/>
              <w:jc w:val="left"/>
            </w:pPr>
            <w:r>
              <w:t xml:space="preserve">3 months</w:t>
            </w:r>
          </w:p>
        </w:tc>
        <w:tc>
          <w:tcPr/>
          <w:p>
            <w:pPr>
              <w:pStyle w:val="Compact"/>
              <w:jc w:val="left"/>
            </w:pPr>
            <w:r>
              <w:t xml:space="preserve">45,000</w:t>
            </w:r>
          </w:p>
        </w:tc>
        <w:tc>
          <w:tcPr/>
          <w:p>
            <w:pPr>
              <w:pStyle w:val="Compact"/>
              <w:jc w:val="left"/>
            </w:pPr>
            <w:r>
              <w:t xml:space="preserve">135,000</w:t>
            </w:r>
          </w:p>
        </w:tc>
        <w:tc>
          <w:tcPr/>
          <w:p>
            <w:pPr>
              <w:pStyle w:val="Compact"/>
              <w:jc w:val="left"/>
            </w:pPr>
            <w:r>
              <w:t xml:space="preserve">13,500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1,781,000.00 SDG</w:t>
            </w:r>
          </w:p>
        </w:tc>
      </w:tr>
      <w:tr>
        <w:tc>
          <w:tcPr/>
          <w:p>
            <w:pPr>
              <w:pStyle w:val="Compact"/>
              <w:jc w:val="left"/>
            </w:pPr>
            <w:r>
              <w:t xml:space="preserve">VAT (10%)</w:t>
            </w:r>
          </w:p>
        </w:tc>
        <w:tc>
          <w:tcPr/>
          <w:p>
            <w:pPr>
              <w:pStyle w:val="Compact"/>
              <w:jc w:val="left"/>
            </w:pPr>
            <w:r>
              <w:t xml:space="preserve">178,100.00 SDG</w:t>
            </w:r>
          </w:p>
        </w:tc>
      </w:tr>
      <w:tr>
        <w:tc>
          <w:tcPr/>
          <w:p>
            <w:pPr>
              <w:pStyle w:val="Compact"/>
              <w:jc w:val="left"/>
            </w:pPr>
            <w:r>
              <w:t xml:space="preserve">Discount (Government Contract 5%)</w:t>
            </w:r>
          </w:p>
        </w:tc>
        <w:tc>
          <w:tcPr/>
          <w:p>
            <w:pPr>
              <w:pStyle w:val="Compact"/>
              <w:jc w:val="left"/>
            </w:pPr>
            <w:r>
              <w:t xml:space="preserve">-89,050.00 SDG</w:t>
            </w:r>
          </w:p>
        </w:tc>
      </w:tr>
      <w:tr>
        <w:tc>
          <w:tcPr/>
          <w:p>
            <w:pPr>
              <w:pStyle w:val="Compact"/>
              <w:jc w:val="left"/>
            </w:pPr>
            <w:r>
              <w:t xml:space="preserve">Grand Total Due</w:t>
            </w:r>
          </w:p>
        </w:tc>
        <w:tc>
          <w:tcPr/>
          <w:p>
            <w:pPr>
              <w:pStyle w:val="Compact"/>
              <w:jc w:val="left"/>
            </w:pPr>
            <w:r>
              <w:t xml:space="preserve">1,870,050.00 SDG</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from the invoice date (by 30 June 2025).</w:t>
      </w:r>
    </w:p>
    <w:p>
      <w:pPr>
        <w:pStyle w:val="BodyText"/>
      </w:pPr>
      <w:r>
        <w:rPr>
          <w:bCs/>
          <w:b/>
        </w:rPr>
        <w:t xml:space="preserve">Payment Method:</w:t>
      </w:r>
      <w:r>
        <w:t xml:space="preserve"> </w:t>
      </w:r>
      <w:r>
        <w:t xml:space="preserve">Bank transfer to Nile Valley Economic Consultancy, Bank of Khartoum, Account No: 0044-7721-9935-1, SWIFT: BKRTSDKH.</w:t>
      </w:r>
    </w:p>
    <w:p>
      <w:pPr>
        <w:pStyle w:val="BodyText"/>
      </w:pPr>
      <w:r>
        <w:rPr>
          <w:bCs/>
          <w:b/>
        </w:rPr>
        <w:t xml:space="preserve">Currency:</w:t>
      </w:r>
      <w:r>
        <w:t xml:space="preserve"> </w:t>
      </w:r>
      <w:r>
        <w:t xml:space="preserve">All amounts are denominated in Sudanese Pounds (SDG). International payments may be settled in USD at the prevailing Bank of Sudan exchange rate on the date of transfer.</w:t>
      </w:r>
    </w:p>
    <w:p>
      <w:pPr>
        <w:pStyle w:val="BodyText"/>
      </w:pPr>
      <w:r>
        <w:rPr>
          <w:bCs/>
          <w:b/>
        </w:rPr>
        <w:t xml:space="preserve">Late Payment:</w:t>
      </w:r>
      <w:r>
        <w:t xml:space="preserve"> </w:t>
      </w:r>
      <w:r>
        <w:t xml:space="preserve">A penalty of 2% per month will be applied to overdue balances in accordance with Sudanese commercial law.</w:t>
      </w:r>
    </w:p>
    <w:p>
      <w:pPr>
        <w:pStyle w:val="BodyText"/>
      </w:pPr>
      <w:r>
        <w:rPr>
          <w:bCs/>
          <w:b/>
        </w:rPr>
        <w:t xml:space="preserve">Reference:</w:t>
      </w:r>
      <w:r>
        <w:t xml:space="preserve"> </w:t>
      </w:r>
      <w:r>
        <w:t xml:space="preserve">Please quote Invoice No. NVEC-2025-0347 and Reference ECO-KRT-2025-Q2 on all remittances.</w:t>
      </w:r>
    </w:p>
    <w:bookmarkEnd w:id="24"/>
    <w:bookmarkStart w:id="25" w:name="important-notes-terms-of-service"/>
    <w:p>
      <w:pPr>
        <w:pStyle w:val="Heading3"/>
      </w:pPr>
      <w:r>
        <w:t xml:space="preserve">Important Notes &amp; Terms of Service</w:t>
      </w:r>
    </w:p>
    <w:p>
      <w:pPr>
        <w:pStyle w:val="FirstParagraph"/>
      </w:pPr>
      <w:r>
        <w:t xml:space="preserve">1. This invoice is issued in accordance with the professional standards of the Sudanese Economic Association and the regulatory framework of the Bank of Sudan for licensed economist services.</w:t>
      </w:r>
    </w:p>
    <w:p>
      <w:pPr>
        <w:pStyle w:val="BodyText"/>
      </w:pPr>
      <w:r>
        <w:t xml:space="preserve">2. All economic analyses, forecasts, and advisory opinions provided under this engagement are prepared by a qualified and licensed economist operating within the jurisdiction of Sudan Khartoum. The findings are based on publicly available data, government statistics, and proprietary research methodologies.</w:t>
      </w:r>
    </w:p>
    <w:p>
      <w:pPr>
        <w:pStyle w:val="BodyText"/>
      </w:pPr>
      <w:r>
        <w:t xml:space="preserve">3. The deliverables outlined in this invoice, including the Economic Impact Assessment Report and all policy briefs, remain the intellectual property of Nile Valley Economic Consultancy until full payment is received. Upon settlement, the client receives a perpetual, non-exclusive license to use the materials for internal government purposes.</w:t>
      </w:r>
    </w:p>
    <w:p>
      <w:pPr>
        <w:pStyle w:val="BodyText"/>
      </w:pPr>
      <w:r>
        <w:t xml:space="preserve">4. This invoice constitutes a formal request for payment for professional economist services rendered in Sudan Khartoum. It is not a quotation or estimate. All services have been completed and accepted by the client's designated representative prior to issuance.</w:t>
      </w:r>
    </w:p>
    <w:p>
      <w:pPr>
        <w:pStyle w:val="BodyText"/>
      </w:pPr>
      <w:r>
        <w:t xml:space="preserve">5. Any disputes arising from this invoice shall be resolved through the Commercial Courts of Khartoum, Sudan, in accordance with the applicable Sudanese commercial and tax legislation.</w:t>
      </w:r>
    </w:p>
    <w:p>
      <w:pPr>
        <w:pStyle w:val="BodyText"/>
      </w:pPr>
      <w:r>
        <w:t xml:space="preserve">6. VAT is applied at the standard rate of 10% as mandated by the National Revenue Authority of Sudan. This invoice is valid for tax deduction purposes when presented with the official receipt.</w:t>
      </w:r>
    </w:p>
    <w:bookmarkEnd w:id="25"/>
    <w:p>
      <w:pPr>
        <w:pStyle w:val="BodyText"/>
      </w:pPr>
      <w:r>
        <w:rPr>
          <w:bCs/>
          <w:b/>
        </w:rPr>
        <w:t xml:space="preserve">Nile Valley Economic Consultancy</w:t>
      </w:r>
      <w:r>
        <w:t xml:space="preserve"> </w:t>
      </w:r>
      <w:r>
        <w:t xml:space="preserve">| Professional Economist Services in Sudan Khartoum</w:t>
      </w:r>
    </w:p>
    <w:p>
      <w:pPr>
        <w:pStyle w:val="BodyText"/>
      </w:pPr>
      <w:r>
        <w:t xml:space="preserve">Office 42, Al-Muraj Building, Al-Riyad Street, Khartoum, Sudan 11111</w:t>
      </w:r>
    </w:p>
    <w:p>
      <w:pPr>
        <w:pStyle w:val="BodyText"/>
      </w:pPr>
      <w:r>
        <w:t xml:space="preserve">Tel: +249-183-456-789 | Email: billing@nilevalleyecon.sd | Web: www.nilevalleyecon.sd</w:t>
      </w:r>
    </w:p>
    <w:p>
      <w:pPr>
        <w:pStyle w:val="BodyText"/>
      </w:pPr>
      <w:r>
        <w:t xml:space="preserve">This is a computer-generated invoice and does not require a physical signature. It is valid as a legal financial document under Sudanese law.</w:t>
      </w:r>
    </w:p>
    <w:p>
      <w:pPr>
        <w:pStyle w:val="BodyText"/>
      </w:pPr>
      <w:r>
        <w:t xml:space="preserve">Invoice NVEC-2025-0347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Sudan Khartoum</dc:title>
  <dc:creator/>
  <dc:language>en</dc:language>
  <cp:keywords/>
  <dcterms:created xsi:type="dcterms:W3CDTF">2026-10-10T03:48:18Z</dcterms:created>
  <dcterms:modified xsi:type="dcterms:W3CDTF">2026-10-10T03:48:18Z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