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Ankara,</w:t>
      </w:r>
      <w:r>
        <w:t xml:space="preserve"> </w:t>
      </w:r>
      <w:r>
        <w:t xml:space="preserve">Turkey</w:t>
      </w:r>
    </w:p>
    <w:bookmarkStart w:id="20" w:name="invoice"/>
    <w:p>
      <w:pPr>
        <w:pStyle w:val="Heading1"/>
      </w:pPr>
      <w:r>
        <w:t xml:space="preserve">INVOICE</w:t>
      </w:r>
    </w:p>
    <w:p>
      <w:pPr>
        <w:pStyle w:val="FirstParagraph"/>
      </w:pPr>
      <w:r>
        <w:t xml:space="preserve">The Economist Group — Digital &amp; Print Subscription Services</w:t>
      </w:r>
    </w:p>
    <w:p>
      <w:pPr>
        <w:pStyle w:val="BodyText"/>
      </w:pPr>
      <w:r>
        <w:t xml:space="preserve">Official Invoice — Ankara, Turkey</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ECO-TR-ANK-2025-04872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Turkish Lira (TRY)</w:t>
      </w:r>
    </w:p>
    <w:p>
      <w:pPr>
        <w:pStyle w:val="BodyText"/>
      </w:pPr>
      <w:r>
        <w:rPr>
          <w:bCs/>
          <w:b/>
        </w:rPr>
        <w:t xml:space="preserve">Country of Issue:</w:t>
      </w:r>
      <w:r>
        <w:t xml:space="preserve"> </w:t>
      </w:r>
      <w:r>
        <w:t xml:space="preserve">Turkey (Ankara)</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Ankara Economic Research Institute</w:t>
      </w:r>
    </w:p>
    <w:p>
      <w:pPr>
        <w:pStyle w:val="BodyText"/>
      </w:pPr>
      <w:r>
        <w:rPr>
          <w:bCs/>
          <w:b/>
        </w:rPr>
        <w:t xml:space="preserve">Address:</w:t>
      </w:r>
      <w:r>
        <w:t xml:space="preserve"> </w:t>
      </w:r>
      <w:r>
        <w:t xml:space="preserve">Kızılay Mahallesi, Atatürk Bulvarı No. 142</w:t>
      </w:r>
    </w:p>
    <w:p>
      <w:pPr>
        <w:pStyle w:val="BodyText"/>
      </w:pPr>
      <w:r>
        <w:rPr>
          <w:bCs/>
          <w:b/>
        </w:rPr>
        <w:t xml:space="preserve">City:</w:t>
      </w:r>
      <w:r>
        <w:t xml:space="preserve"> </w:t>
      </w:r>
      <w:r>
        <w:t xml:space="preserve">Ankara, 06420</w:t>
      </w:r>
    </w:p>
    <w:p>
      <w:pPr>
        <w:pStyle w:val="BodyText"/>
      </w:pPr>
      <w:r>
        <w:rPr>
          <w:bCs/>
          <w:b/>
        </w:rPr>
        <w:t xml:space="preserve">Country:</w:t>
      </w:r>
      <w:r>
        <w:t xml:space="preserve"> </w:t>
      </w:r>
      <w:r>
        <w:t xml:space="preserve">Turkey</w:t>
      </w:r>
    </w:p>
    <w:p>
      <w:pPr>
        <w:pStyle w:val="BodyText"/>
      </w:pPr>
      <w:r>
        <w:rPr>
          <w:bCs/>
          <w:b/>
        </w:rPr>
        <w:t xml:space="preserve">VAT Number (VKN):</w:t>
      </w:r>
      <w:r>
        <w:t xml:space="preserve"> </w:t>
      </w:r>
      <w:r>
        <w:t xml:space="preserve">1234567890</w:t>
      </w:r>
    </w:p>
    <w:p>
      <w:pPr>
        <w:pStyle w:val="BodyText"/>
      </w:pPr>
      <w:r>
        <w:rPr>
          <w:bCs/>
          <w:b/>
        </w:rPr>
        <w:t xml:space="preserve">Contact:</w:t>
      </w:r>
      <w:r>
        <w:t xml:space="preserve"> </w:t>
      </w:r>
      <w:r>
        <w:t xml:space="preserve">Dr. Elif Yılmaz, Procurement Director</w:t>
      </w:r>
    </w:p>
    <w:bookmarkEnd w:id="22"/>
    <w:bookmarkStart w:id="23" w:name="X857263d219b5ae1646b5dc9c67c3cc4bb8f2c4a"/>
    <w:p>
      <w:pPr>
        <w:pStyle w:val="Heading3"/>
      </w:pPr>
      <w:r>
        <w:t xml:space="preserve">Description of Services — The Economist Subscription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The Economist — Annual Digital Subscription (Institutional License, 50 concurrent users) for Ankara-based research staff</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The Economist — Print Edition Delivery (Weekly, 52 issues per year) to Ankara office address</w:t>
            </w:r>
          </w:p>
        </w:tc>
        <w:tc>
          <w:tcPr/>
          <w:p>
            <w:pPr>
              <w:pStyle w:val="Compact"/>
              <w:jc w:val="left"/>
            </w:pPr>
            <w:r>
              <w:t xml:space="preserve">52</w:t>
            </w:r>
          </w:p>
        </w:tc>
        <w:tc>
          <w:tcPr/>
          <w:p>
            <w:pPr>
              <w:pStyle w:val="Compact"/>
              <w:jc w:val="left"/>
            </w:pPr>
            <w:r>
              <w:t xml:space="preserve">320.00</w:t>
            </w:r>
          </w:p>
        </w:tc>
        <w:tc>
          <w:tcPr/>
          <w:p>
            <w:pPr>
              <w:pStyle w:val="Compact"/>
              <w:jc w:val="left"/>
            </w:pPr>
            <w:r>
              <w:t xml:space="preserve">16,640.00</w:t>
            </w:r>
          </w:p>
        </w:tc>
      </w:tr>
      <w:tr>
        <w:tc>
          <w:tcPr/>
          <w:p>
            <w:pPr>
              <w:pStyle w:val="Compact"/>
              <w:jc w:val="left"/>
            </w:pPr>
            <w:r>
              <w:t xml:space="preserve">3</w:t>
            </w:r>
          </w:p>
        </w:tc>
        <w:tc>
          <w:tcPr/>
          <w:p>
            <w:pPr>
              <w:pStyle w:val="Compact"/>
              <w:jc w:val="left"/>
            </w:pPr>
            <w:r>
              <w:t xml:space="preserve">The Economist — Economist Intelligence Unit (EIU) Country Risk Report: Turkey &amp; Ankara Regional Analysis (Annual)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The Economist — Custom Data Analytics Dashboard Access (Economic Indicators, Ankara Metro Area GDP, Trade Statistics)</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The Economist — On-site Briefing Session by Economist Senior Correspondent (Ankara, Turkey — 1 day, 8 hours)</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6</w:t>
            </w:r>
          </w:p>
        </w:tc>
        <w:tc>
          <w:tcPr/>
          <w:p>
            <w:pPr>
              <w:pStyle w:val="Compact"/>
              <w:jc w:val="left"/>
            </w:pPr>
            <w:r>
              <w:t xml:space="preserve">The Economist — Archive Access (Full Historical Database, 1843–Present, Unlimited Downloads)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130,890.00</w:t>
            </w:r>
          </w:p>
        </w:tc>
      </w:tr>
      <w:tr>
        <w:tc>
          <w:tcPr/>
          <w:p>
            <w:pPr>
              <w:pStyle w:val="Compact"/>
              <w:jc w:val="left"/>
            </w:pPr>
            <w:r>
              <w:t xml:space="preserve">VAT (KDV) — 20% (Turkey)</w:t>
            </w:r>
          </w:p>
        </w:tc>
        <w:tc>
          <w:tcPr/>
          <w:p>
            <w:pPr>
              <w:pStyle w:val="Compact"/>
              <w:jc w:val="right"/>
            </w:pPr>
            <w:r>
              <w:t xml:space="preserve">26,178.00</w:t>
            </w:r>
          </w:p>
        </w:tc>
      </w:tr>
      <w:tr>
        <w:tc>
          <w:tcPr/>
          <w:p>
            <w:pPr>
              <w:pStyle w:val="Compact"/>
              <w:jc w:val="left"/>
            </w:pPr>
            <w:r>
              <w:t xml:space="preserve">International Delivery &amp; Handling (Ankara)</w:t>
            </w:r>
          </w:p>
        </w:tc>
        <w:tc>
          <w:tcPr/>
          <w:p>
            <w:pPr>
              <w:pStyle w:val="Compact"/>
              <w:jc w:val="right"/>
            </w:pPr>
            <w:r>
              <w:t xml:space="preserve">1,450.00</w:t>
            </w:r>
          </w:p>
        </w:tc>
      </w:tr>
      <w:tr>
        <w:tc>
          <w:tcPr/>
          <w:p>
            <w:pPr>
              <w:pStyle w:val="Compact"/>
              <w:jc w:val="left"/>
            </w:pPr>
            <w:r>
              <w:t xml:space="preserve">Grand Total (TRY)</w:t>
            </w:r>
          </w:p>
        </w:tc>
        <w:tc>
          <w:tcPr/>
          <w:p>
            <w:pPr>
              <w:pStyle w:val="Compact"/>
              <w:jc w:val="right"/>
            </w:pPr>
            <w:r>
              <w:t xml:space="preserve">158,518.00</w:t>
            </w:r>
          </w:p>
        </w:tc>
      </w:tr>
    </w:tbl>
    <w:bookmarkStart w:id="24" w:name="invoice-notes-payment-instructions"/>
    <w:p>
      <w:pPr>
        <w:pStyle w:val="Heading3"/>
      </w:pPr>
      <w:r>
        <w:t xml:space="preserve">Invoice Notes &amp; Payment Instructions</w:t>
      </w:r>
    </w:p>
    <w:p>
      <w:pPr>
        <w:pStyle w:val="FirstParagraph"/>
      </w:pPr>
      <w:r>
        <w:t xml:space="preserve">This invoice is issued in accordance with the commercial regulations of the Republic of Turkey and is valid for use within the Ankara metropolitan area and throughout Turkey. All amounts are denominated in Turkish Lira (TRY) and are subject to the applicable Value Added Tax (KDV) rate of 20% as mandated by the Turkish Ministry of Finance.</w:t>
      </w:r>
    </w:p>
    <w:p>
      <w:pPr>
        <w:pStyle w:val="BodyText"/>
      </w:pPr>
      <w:r>
        <w:t xml:space="preserve">Payment for this invoice shall be made via bank transfer to the following account. The client is requested to reference the invoice number ECO-TR-ANK-2025-04872 in the payment memo to ensure proper reconciliation of this Economist subscription billing cycle.</w:t>
      </w:r>
    </w:p>
    <w:p>
      <w:pPr>
        <w:pStyle w:val="BodyText"/>
      </w:pPr>
      <w:r>
        <w:rPr>
          <w:bCs/>
          <w:b/>
        </w:rPr>
        <w:t xml:space="preserve">Bank:</w:t>
      </w:r>
      <w:r>
        <w:t xml:space="preserve"> </w:t>
      </w:r>
      <w:r>
        <w:t xml:space="preserve">Ziraat Bankası A.Ş. — Ankara Main Branch</w:t>
      </w:r>
    </w:p>
    <w:p>
      <w:pPr>
        <w:pStyle w:val="BodyText"/>
      </w:pPr>
      <w:r>
        <w:rPr>
          <w:bCs/>
          <w:b/>
        </w:rPr>
        <w:t xml:space="preserve">IBAN:</w:t>
      </w:r>
      <w:r>
        <w:t xml:space="preserve"> </w:t>
      </w:r>
      <w:r>
        <w:t xml:space="preserve">TR12 0001 0001 2345 6789 1011 12</w:t>
      </w:r>
    </w:p>
    <w:p>
      <w:pPr>
        <w:pStyle w:val="BodyText"/>
      </w:pPr>
      <w:r>
        <w:rPr>
          <w:bCs/>
          <w:b/>
        </w:rPr>
        <w:t xml:space="preserve">SWIFT/BIC:</w:t>
      </w:r>
      <w:r>
        <w:t xml:space="preserve"> </w:t>
      </w:r>
      <w:r>
        <w:t xml:space="preserve">TCBKTR2A</w:t>
      </w:r>
    </w:p>
    <w:p>
      <w:pPr>
        <w:pStyle w:val="BodyText"/>
      </w:pPr>
      <w:r>
        <w:rPr>
          <w:bCs/>
          <w:b/>
        </w:rPr>
        <w:t xml:space="preserve">Account Name:</w:t>
      </w:r>
      <w:r>
        <w:t xml:space="preserve"> </w:t>
      </w:r>
      <w:r>
        <w:t xml:space="preserve">The Economist Group — Turkey Operations (Ankara)</w:t>
      </w:r>
    </w:p>
    <w:p>
      <w:pPr>
        <w:pStyle w:val="BodyText"/>
      </w:pPr>
      <w:r>
        <w:t xml:space="preserve">Payments received after the due date of 30 June 2025 will be subject to a late payment interest charge calculated in accordance with Turkish commercial law (Türk Ticaret Kanunu). The Economist Group reserves the right to suspend digital access and print delivery to the Ankara office address until all outstanding balances on this invoice are settled in full.</w:t>
      </w:r>
    </w:p>
    <w:bookmarkEnd w:id="24"/>
    <w:bookmarkStart w:id="25" w:name="terms-conditions"/>
    <w:p>
      <w:pPr>
        <w:pStyle w:val="Heading3"/>
      </w:pPr>
      <w:r>
        <w:t xml:space="preserve">Terms &amp; Conditions</w:t>
      </w:r>
    </w:p>
    <w:p>
      <w:pPr>
        <w:pStyle w:val="FirstParagraph"/>
      </w:pPr>
      <w:r>
        <w:t xml:space="preserve">1. This invoice constitutes a binding commercial document between The Economist Group (hereinafter referred to as "the Publisher") and Ankara Economic Research Institute (hereinafter referred to as "the Client") for the provision of Economist publications, data services, and related professional engagements within Turkey, Ankara.</w:t>
      </w:r>
    </w:p>
    <w:p>
      <w:pPr>
        <w:pStyle w:val="BodyText"/>
      </w:pPr>
      <w:r>
        <w:t xml:space="preserve">2. The Economist digital subscription license is non-transferable and is restricted to the named institutional users at the Ankara address specified above. Any unauthorized sharing of access credentials will result in immediate termination of the subscription without refund.</w:t>
      </w:r>
    </w:p>
    <w:p>
      <w:pPr>
        <w:pStyle w:val="BodyText"/>
      </w:pPr>
      <w:r>
        <w:t xml:space="preserve">3. Print delivery of The Economist weekly edition to Ankara is subject to standard postal and courier timelines. Delays caused by force majeure events, including but not limited to natural disasters, government-mandated closures, or international logistics disruptions affecting Turkey, shall not be considered a breach of this invoice agreement.</w:t>
      </w:r>
    </w:p>
    <w:p>
      <w:pPr>
        <w:pStyle w:val="BodyText"/>
      </w:pPr>
      <w:r>
        <w:t xml:space="preserve">4. The Economist Intelligence Unit reports and data analytics dashboards referenced in this invoice are licensed for internal research purposes only. Redistribution, republication, or commercial resale of Economist data to third parties within Turkey or internationally is strictly prohibited without prior written consent from the Publisher.</w:t>
      </w:r>
    </w:p>
    <w:p>
      <w:pPr>
        <w:pStyle w:val="BodyText"/>
      </w:pPr>
      <w:r>
        <w:t xml:space="preserve">5. The on-site briefing session in Ankara, Turkey, conducted by a senior Economist correspondent, is a one-time engagement. Rescheduling must be requested no fewer than fourteen (14) calendar days in advance. Cancellations within fourteen days will incur a 50% fee of the session value as stated in this invoice.</w:t>
      </w:r>
    </w:p>
    <w:p>
      <w:pPr>
        <w:pStyle w:val="BodyText"/>
      </w:pPr>
      <w:r>
        <w:t xml:space="preserve">6. All disputes arising from this invoice shall be governed by the laws of the Republic of Turkey. Jurisdiction for any legal proceedings shall lie exclusively with the competent commercial courts of Ankara, Turkey. Both parties agree to attempt good-faith mediation before initiating litigation.</w:t>
      </w:r>
    </w:p>
    <w:p>
      <w:pPr>
        <w:pStyle w:val="BodyText"/>
      </w:pPr>
      <w:r>
        <w:t xml:space="preserve">7. This invoice is valid for a period of ninety (90) days from the date of issue. After this period, the pricing and terms outlined herein may be subject to revision based on current exchange rates, Turkish inflation indices, and The Economist Group's updated tariff schedule for the Turkey and Ankara market.</w:t>
      </w:r>
    </w:p>
    <w:bookmarkEnd w:id="25"/>
    <w:p>
      <w:pPr>
        <w:pStyle w:val="BodyText"/>
      </w:pPr>
      <w:r>
        <w:rPr>
          <w:bCs/>
          <w:b/>
        </w:rPr>
        <w:t xml:space="preserve">The Economist Group — Turkey Operations Office</w:t>
      </w:r>
    </w:p>
    <w:p>
      <w:pPr>
        <w:pStyle w:val="BodyText"/>
      </w:pPr>
      <w:r>
        <w:t xml:space="preserve">Çankaya District, Ankara, 06530 — Turkey</w:t>
      </w:r>
    </w:p>
    <w:p>
      <w:pPr>
        <w:pStyle w:val="BodyText"/>
      </w:pPr>
      <w:r>
        <w:t xml:space="preserve">Tel: +90 (312) 555 0142  |  Email: turkey.billing@economist.com</w:t>
      </w:r>
    </w:p>
    <w:p>
      <w:pPr>
        <w:pStyle w:val="BodyText"/>
      </w:pPr>
      <w:r>
        <w:t xml:space="preserve">This invoice was generated electronically and is valid without a physical signature in accordance with Turkish e-invoicing regulations (e-Fatura). Thank you for your continued subscription to The Economist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Ankara, Turkey</dc:title>
  <dc:creator/>
  <dc:language>en</dc:language>
  <cp:keywords/>
  <dcterms:created xsi:type="dcterms:W3CDTF">2026-10-10T01:20:20Z</dcterms:created>
  <dcterms:modified xsi:type="dcterms:W3CDTF">2026-10-10T01:20:20Z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