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Advisory</w:t>
      </w:r>
      <w:r>
        <w:t xml:space="preserve"> </w:t>
      </w:r>
      <w:r>
        <w:t xml:space="preserve">&amp;</w:t>
      </w:r>
      <w:r>
        <w:t xml:space="preserve"> </w:t>
      </w:r>
      <w:r>
        <w:t xml:space="preserve">Research</w:t>
      </w:r>
      <w:r>
        <w:t xml:space="preserve"> </w:t>
      </w:r>
      <w:r>
        <w:t xml:space="preserve">Services,</w:t>
      </w:r>
      <w:r>
        <w:t xml:space="preserve"> </w:t>
      </w:r>
      <w:r>
        <w:t xml:space="preserve">Birmingham,</w:t>
      </w:r>
      <w:r>
        <w:t xml:space="preserve"> </w:t>
      </w:r>
      <w:r>
        <w:t xml:space="preserve">United</w:t>
      </w:r>
      <w:r>
        <w:t xml:space="preserve"> </w:t>
      </w:r>
      <w:r>
        <w:t xml:space="preserve">Kingdom</w:t>
      </w:r>
    </w:p>
    <w:bookmarkStart w:id="20" w:name="economist-advisory-research-services"/>
    <w:p>
      <w:pPr>
        <w:pStyle w:val="Heading1"/>
      </w:pPr>
      <w:r>
        <w:t xml:space="preserve">Economist Advisory &amp; Research Services</w:t>
      </w:r>
    </w:p>
    <w:p>
      <w:pPr>
        <w:pStyle w:val="FirstParagraph"/>
      </w:pPr>
      <w:r>
        <w:t xml:space="preserve">142 Corporation Street, Birmingham, B4 7BY</w:t>
      </w:r>
    </w:p>
    <w:p>
      <w:pPr>
        <w:pStyle w:val="BodyText"/>
      </w:pPr>
      <w:r>
        <w:t xml:space="preserve">United Kingdom</w:t>
      </w:r>
    </w:p>
    <w:p>
      <w:pPr>
        <w:pStyle w:val="BodyText"/>
      </w:pPr>
      <w:r>
        <w:t xml:space="preserve">Tel: +44 (0)121 496 0000 | Email: billing@economistadvisory.co.uk</w:t>
      </w:r>
    </w:p>
    <w:p>
      <w:pPr>
        <w:pStyle w:val="BodyText"/>
      </w:pPr>
      <w:r>
        <w:t xml:space="preserve">VAT Registration No: GB 987 6543 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EA-2025-04871</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Reference:</w:t>
      </w:r>
      <w:r>
        <w:t xml:space="preserve"> </w:t>
      </w:r>
      <w:r>
        <w:t xml:space="preserve">BHM-ECON-2025-Q2</w:t>
      </w:r>
    </w:p>
    <w:bookmarkEnd w:id="21"/>
    <w:bookmarkStart w:id="22" w:name="billed-to"/>
    <w:p>
      <w:pPr>
        <w:pStyle w:val="Heading3"/>
      </w:pPr>
      <w:r>
        <w:t xml:space="preserve">Billed To</w:t>
      </w:r>
    </w:p>
    <w:p>
      <w:pPr>
        <w:pStyle w:val="FirstParagraph"/>
      </w:pPr>
      <w:r>
        <w:rPr>
          <w:bCs/>
          <w:b/>
        </w:rPr>
        <w:t xml:space="preserve">West Midlands Economic Development Board</w:t>
      </w:r>
    </w:p>
    <w:p>
      <w:pPr>
        <w:pStyle w:val="BodyText"/>
      </w:pPr>
      <w:r>
        <w:t xml:space="preserve">City Hall, Victoria Square</w:t>
      </w:r>
    </w:p>
    <w:p>
      <w:pPr>
        <w:pStyle w:val="BodyText"/>
      </w:pPr>
      <w:r>
        <w:t xml:space="preserve">Birmingham, B1 1BB</w:t>
      </w:r>
    </w:p>
    <w:p>
      <w:pPr>
        <w:pStyle w:val="BodyText"/>
      </w:pPr>
      <w:r>
        <w:t xml:space="preserve">United Kingdom</w:t>
      </w:r>
    </w:p>
    <w:p>
      <w:pPr>
        <w:pStyle w:val="BodyText"/>
      </w:pPr>
      <w:r>
        <w:t xml:space="preserve">Attn: Dr. Margaret Holloway, Chief Economist</w:t>
      </w:r>
    </w:p>
    <w:p>
      <w:pPr>
        <w:pStyle w:val="BodyText"/>
      </w:pPr>
      <w:r>
        <w:t xml:space="preserve">Email: m.holloway@wmedb.gov.uk</w:t>
      </w:r>
    </w:p>
    <w:bookmarkEnd w:id="22"/>
    <w:bookmarkStart w:id="23" w:name="issued-by"/>
    <w:p>
      <w:pPr>
        <w:pStyle w:val="Heading3"/>
      </w:pPr>
      <w:r>
        <w:t xml:space="preserve">Issued By</w:t>
      </w:r>
    </w:p>
    <w:p>
      <w:pPr>
        <w:pStyle w:val="FirstParagraph"/>
      </w:pPr>
      <w:r>
        <w:rPr>
          <w:bCs/>
          <w:b/>
        </w:rPr>
        <w:t xml:space="preserve">Economist Advisory &amp; Research Services Ltd</w:t>
      </w:r>
    </w:p>
    <w:p>
      <w:pPr>
        <w:pStyle w:val="BodyText"/>
      </w:pPr>
      <w:r>
        <w:t xml:space="preserve">142 Corporation Street</w:t>
      </w:r>
    </w:p>
    <w:p>
      <w:pPr>
        <w:pStyle w:val="BodyText"/>
      </w:pPr>
      <w:r>
        <w:t xml:space="preserve">Birmingham, B4 7BY</w:t>
      </w:r>
    </w:p>
    <w:p>
      <w:pPr>
        <w:pStyle w:val="BodyText"/>
      </w:pPr>
      <w:r>
        <w:t xml:space="preserve">United Kingdom</w:t>
      </w:r>
    </w:p>
    <w:p>
      <w:pPr>
        <w:pStyle w:val="BodyText"/>
      </w:pPr>
      <w:r>
        <w:t xml:space="preserve">Company Reg. No: 09876543</w:t>
      </w:r>
    </w:p>
    <w:p>
      <w:pPr>
        <w:pStyle w:val="BodyText"/>
      </w:pPr>
      <w:r>
        <w:t xml:space="preserve">Bank: NatWest, Sort Code: 60-90-12</w:t>
      </w:r>
    </w:p>
    <w:p>
      <w:pPr>
        <w:pStyle w:val="BodyText"/>
      </w:pPr>
      <w:r>
        <w:t xml:space="preserve">Account No: 55443322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(GBP)</w:t>
            </w:r>
          </w:p>
        </w:tc>
        <w:tc>
          <w:tcPr/>
          <w:p>
            <w:pPr>
              <w:pStyle w:val="Compact"/>
              <w:jc w:val="left"/>
            </w:pPr>
            <w:r>
              <w:t xml:space="preserve">Qty</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Quarterly macroeconomic analysis and forecasting report for the Birmingham metropolitan area, including GDP projections, employment trend modelling, and sectoral performance indices prepared by our senior Economist team.</w:t>
            </w:r>
          </w:p>
        </w:tc>
        <w:tc>
          <w:tcPr/>
          <w:p>
            <w:pPr>
              <w:pStyle w:val="Compact"/>
              <w:jc w:val="left"/>
            </w:pPr>
            <w:r>
              <w:t xml:space="preserve">Q1 2025</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Comprehensive labour market assessment covering the West Midlands region, with detailed analysis of skills gaps, wage distribution patterns, and migration flows relevant to Birmingham's economic growth strategy.</w:t>
            </w:r>
          </w:p>
        </w:tc>
        <w:tc>
          <w:tcPr/>
          <w:p>
            <w:pPr>
              <w:pStyle w:val="Compact"/>
              <w:jc w:val="left"/>
            </w:pPr>
            <w:r>
              <w:t xml:space="preserve">Q1 2025</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Policy advisory sessions (four half-day workshops) delivered by our lead Economist to the Economic Development Board, focusing on fiscal stimulus recommendations, infrastructure investment prioritisation, and trade policy implications for Birmingham's manufacturing and technology sectors.</w:t>
            </w:r>
          </w:p>
        </w:tc>
        <w:tc>
          <w:tcPr/>
          <w:p>
            <w:pPr>
              <w:pStyle w:val="Compact"/>
              <w:jc w:val="left"/>
            </w:pPr>
            <w:r>
              <w:t xml:space="preserve">Q1 2025</w:t>
            </w:r>
          </w:p>
        </w:tc>
        <w:tc>
          <w:tcPr/>
          <w:p>
            <w:pPr>
              <w:pStyle w:val="Compact"/>
              <w:jc w:val="left"/>
            </w:pPr>
            <w:r>
              <w:t xml:space="preserve">1,850.00</w:t>
            </w:r>
          </w:p>
        </w:tc>
        <w:tc>
          <w:tcPr/>
          <w:p>
            <w:pPr>
              <w:pStyle w:val="Compact"/>
              <w:jc w:val="left"/>
            </w:pPr>
            <w:r>
              <w:t xml:space="preserve">4</w:t>
            </w:r>
          </w:p>
        </w:tc>
        <w:tc>
          <w:tcPr/>
          <w:p>
            <w:pPr>
              <w:pStyle w:val="Compact"/>
              <w:jc w:val="left"/>
            </w:pPr>
            <w:r>
              <w:t xml:space="preserve">7,400.00</w:t>
            </w:r>
          </w:p>
        </w:tc>
      </w:tr>
      <w:tr>
        <w:tc>
          <w:tcPr/>
          <w:p>
            <w:pPr>
              <w:pStyle w:val="Compact"/>
              <w:jc w:val="left"/>
            </w:pPr>
            <w:r>
              <w:t xml:space="preserve">04</w:t>
            </w:r>
          </w:p>
        </w:tc>
        <w:tc>
          <w:tcPr/>
          <w:p>
            <w:pPr>
              <w:pStyle w:val="Compact"/>
              <w:jc w:val="left"/>
            </w:pPr>
            <w:r>
              <w:t xml:space="preserve">Subscription to the Economist Digital Research Platform (annual licence), providing the Board with access to proprietary economic datasets, real-time market indicators, and peer-reviewed research publications for use in strategic planning within the United Kingdom Birmingham economic corridor.</w:t>
            </w:r>
          </w:p>
        </w:tc>
        <w:tc>
          <w:tcPr/>
          <w:p>
            <w:pPr>
              <w:pStyle w:val="Compact"/>
              <w:jc w:val="left"/>
            </w:pPr>
            <w:r>
              <w:t xml:space="preserve">Annual</w:t>
            </w:r>
          </w:p>
        </w:tc>
        <w:tc>
          <w:tcPr/>
          <w:p>
            <w:pPr>
              <w:pStyle w:val="Compact"/>
              <w:jc w:val="left"/>
            </w:pPr>
            <w:r>
              <w:t xml:space="preserve">5,600.00</w:t>
            </w:r>
          </w:p>
        </w:tc>
        <w:tc>
          <w:tcPr/>
          <w:p>
            <w:pPr>
              <w:pStyle w:val="Compact"/>
              <w:jc w:val="left"/>
            </w:pPr>
            <w:r>
              <w:t xml:space="preserve">1</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Preparation and delivery of the Annual Economic Outlook Briefing for Birmingham, including a 45-minute presentation to the full Board, a 60-page written report, and supplementary data appendices covering inflation, interest rate sensitivity, and regional competitiveness benchmarks.</w:t>
            </w:r>
          </w:p>
        </w:tc>
        <w:tc>
          <w:tcPr/>
          <w:p>
            <w:pPr>
              <w:pStyle w:val="Compact"/>
              <w:jc w:val="left"/>
            </w:pPr>
            <w:r>
              <w:t xml:space="preserve">Q1 2025</w:t>
            </w:r>
          </w:p>
        </w:tc>
        <w:tc>
          <w:tcPr/>
          <w:p>
            <w:pPr>
              <w:pStyle w:val="Compact"/>
              <w:jc w:val="left"/>
            </w:pPr>
            <w:r>
              <w:t xml:space="preserve">6,750.00</w:t>
            </w:r>
          </w:p>
        </w:tc>
        <w:tc>
          <w:tcPr/>
          <w:p>
            <w:pPr>
              <w:pStyle w:val="Compact"/>
              <w:jc w:val="left"/>
            </w:pPr>
            <w:r>
              <w:t xml:space="preserve">1</w:t>
            </w:r>
          </w:p>
        </w:tc>
        <w:tc>
          <w:tcPr/>
          <w:p>
            <w:pPr>
              <w:pStyle w:val="Compact"/>
              <w:jc w:val="left"/>
            </w:pPr>
            <w:r>
              <w:t xml:space="preserve">6,750.00</w:t>
            </w:r>
          </w:p>
        </w:tc>
      </w:tr>
      <w:tr>
        <w:tc>
          <w:tcPr/>
          <w:p>
            <w:pPr>
              <w:pStyle w:val="Compact"/>
              <w:jc w:val="left"/>
            </w:pPr>
            <w:r>
              <w:t xml:space="preserve">06</w:t>
            </w:r>
          </w:p>
        </w:tc>
        <w:tc>
          <w:tcPr/>
          <w:p>
            <w:pPr>
              <w:pStyle w:val="Compact"/>
              <w:jc w:val="left"/>
            </w:pPr>
            <w:r>
              <w:t xml:space="preserve">On-site data collection and field research across twelve Birmingham boroughs, including structured interviews with 200 small and medium enterprise operators, analysis of commercial property vacancy rates, and assessment of the digital economy's contribution to local GDP.</w:t>
            </w:r>
          </w:p>
        </w:tc>
        <w:tc>
          <w:tcPr/>
          <w:p>
            <w:pPr>
              <w:pStyle w:val="Compact"/>
              <w:jc w:val="left"/>
            </w:pPr>
            <w:r>
              <w:t xml:space="preserve">Q1 2025</w:t>
            </w:r>
          </w:p>
        </w:tc>
        <w:tc>
          <w:tcPr/>
          <w:p>
            <w:pPr>
              <w:pStyle w:val="Compact"/>
              <w:jc w:val="left"/>
            </w:pPr>
            <w:r>
              <w:t xml:space="preserve">2,900.00</w:t>
            </w:r>
          </w:p>
        </w:tc>
        <w:tc>
          <w:tcPr/>
          <w:p>
            <w:pPr>
              <w:pStyle w:val="Compact"/>
              <w:jc w:val="left"/>
            </w:pPr>
            <w:r>
              <w:t xml:space="preserve">1</w:t>
            </w:r>
          </w:p>
        </w:tc>
        <w:tc>
          <w:tcPr/>
          <w:p>
            <w:pPr>
              <w:pStyle w:val="Compact"/>
              <w:jc w:val="left"/>
            </w:pPr>
            <w:r>
              <w:t xml:space="preserve">2,900.00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30,350.00</w:t>
            </w:r>
          </w:p>
        </w:tc>
      </w:tr>
      <w:tr>
        <w:tc>
          <w:tcPr/>
          <w:p>
            <w:pPr>
              <w:pStyle w:val="Compact"/>
              <w:jc w:val="left"/>
            </w:pPr>
            <w:r>
              <w:t xml:space="preserve">VAT @ 20%</w:t>
            </w:r>
          </w:p>
        </w:tc>
        <w:tc>
          <w:tcPr/>
          <w:p>
            <w:pPr>
              <w:pStyle w:val="Compact"/>
              <w:jc w:val="left"/>
            </w:pPr>
            <w:r>
              <w:t xml:space="preserve">6,070.00</w:t>
            </w:r>
          </w:p>
        </w:tc>
      </w:tr>
      <w:tr>
        <w:tc>
          <w:tcPr/>
          <w:p>
            <w:pPr>
              <w:pStyle w:val="Compact"/>
              <w:jc w:val="left"/>
            </w:pPr>
            <w:r>
              <w:t xml:space="preserve">Total Amount Due (GBP)</w:t>
            </w:r>
          </w:p>
        </w:tc>
        <w:tc>
          <w:tcPr/>
          <w:p>
            <w:pPr>
              <w:pStyle w:val="Compact"/>
              <w:jc w:val="left"/>
            </w:pPr>
            <w:r>
              <w:t xml:space="preserve">36,420.00</w:t>
            </w:r>
          </w:p>
        </w:tc>
      </w:tr>
    </w:tbl>
    <w:bookmarkStart w:id="24" w:name="payment-instructions-notes"/>
    <w:p>
      <w:pPr>
        <w:pStyle w:val="Heading3"/>
      </w:pPr>
      <w:r>
        <w:t xml:space="preserve">Payment Instructions &amp; Notes</w:t>
      </w:r>
    </w:p>
    <w:p>
      <w:pPr>
        <w:pStyle w:val="FirstParagraph"/>
      </w:pPr>
      <w:r>
        <w:rPr>
          <w:bCs/>
          <w:b/>
        </w:rPr>
        <w:t xml:space="preserve">Method of Payment:</w:t>
      </w:r>
      <w:r>
        <w:t xml:space="preserve"> </w:t>
      </w:r>
      <w:r>
        <w:t xml:space="preserve">BACS / CHAPS transfer to the account details provided above. Please quote Invoice No. EA-2025-04871 and Reference BHM-ECON-2025-Q2 in all correspondence.</w:t>
      </w:r>
    </w:p>
    <w:p>
      <w:pPr>
        <w:pStyle w:val="BodyText"/>
      </w:pPr>
      <w:r>
        <w:rPr>
          <w:bCs/>
          <w:b/>
        </w:rPr>
        <w:t xml:space="preserve">Due Date:</w:t>
      </w:r>
      <w:r>
        <w:t xml:space="preserve"> </w:t>
      </w:r>
      <w:r>
        <w:t xml:space="preserve">Full payment is due within thirty (30) calendar days of the date of issue, i.e., no later than 14 July 2025. Late payments will attract interest at a rate of 4% above the Bank of England base rate, in accordance with the Late Payment of Commercial Debts (Interest) Act 1998 as applicable in the United Kingdom.</w:t>
      </w:r>
    </w:p>
    <w:p>
      <w:pPr>
        <w:pStyle w:val="BodyText"/>
      </w:pPr>
      <w:r>
        <w:rPr>
          <w:bCs/>
          <w:b/>
        </w:rPr>
        <w:t xml:space="preserve">Scope of Work:</w:t>
      </w:r>
      <w:r>
        <w:t xml:space="preserve"> </w:t>
      </w:r>
      <w:r>
        <w:t xml:space="preserve">All services described herein were rendered by qualified Economist professionals employed by Economist Advisory &amp; Research Services Ltd, operating from our principal office in Birmingham, United Kingdom. The research and analytical outputs are the intellectual property of this firm and are licensed for internal use by the West Midlands Economic Development Board only.</w:t>
      </w:r>
    </w:p>
    <w:p>
      <w:pPr>
        <w:pStyle w:val="BodyText"/>
      </w:pPr>
      <w:r>
        <w:rPr>
          <w:bCs/>
          <w:b/>
        </w:rPr>
        <w:t xml:space="preserve">Disputes:</w:t>
      </w:r>
      <w:r>
        <w:t xml:space="preserve"> </w:t>
      </w:r>
      <w:r>
        <w:t xml:space="preserve">Any queries or disputes regarding this Invoice must be raised in writing to billing@economistadvisory.co.uk within fourteen (14) days of receipt. Failure to do so shall constitute acceptance of the charges as stated.</w:t>
      </w:r>
    </w:p>
    <w:p>
      <w:pPr>
        <w:pStyle w:val="BodyText"/>
      </w:pPr>
      <w:r>
        <w:rPr>
          <w:bCs/>
          <w:b/>
        </w:rPr>
        <w:t xml:space="preserve">Governing Law:</w:t>
      </w:r>
      <w:r>
        <w:t xml:space="preserve"> </w:t>
      </w:r>
      <w:r>
        <w:t xml:space="preserve">This Invoice and all associated services are governed by the laws of England and Wales. Any disputes shall be subject to the exclusive jurisdiction of the courts of Birmingham, United Kingdom.</w:t>
      </w:r>
    </w:p>
    <w:bookmarkEnd w:id="24"/>
    <w:p>
      <w:pPr>
        <w:pStyle w:val="BodyText"/>
      </w:pPr>
      <w:r>
        <w:rPr>
          <w:bCs/>
          <w:b/>
        </w:rPr>
        <w:t xml:space="preserve">Economist Advisory &amp; Research Services Ltd</w:t>
      </w:r>
      <w:r>
        <w:t xml:space="preserve"> </w:t>
      </w:r>
      <w:r>
        <w:t xml:space="preserve">| 142 Corporation Street, Birmingham, B4 7BY, United Kingdom</w:t>
      </w:r>
    </w:p>
    <w:p>
      <w:pPr>
        <w:pStyle w:val="BodyText"/>
      </w:pPr>
      <w:r>
        <w:t xml:space="preserve">Registered in England and Wales No. 09876543 | VAT No. GB 987 6543 21</w:t>
      </w:r>
    </w:p>
    <w:p>
      <w:pPr>
        <w:pStyle w:val="BodyText"/>
      </w:pPr>
      <w:r>
        <w:t xml:space="preserve">This is a computer-generated Invoice and does not require a signature. Thank you for your business.</w:t>
      </w:r>
    </w:p>
    <w:p>
      <w:pPr>
        <w:pStyle w:val="BodyText"/>
      </w:pPr>
      <w:r>
        <w:t xml:space="preserve">© 2025 Economist Advisory &amp; Research Services Ltd. All rights reserved. This document is issued in 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Advisory &amp; Research Services, Birmingham, United Kingdom</dc:title>
  <dc:creator/>
  <dc:language>en-GB</dc:language>
  <cp:keywords/>
  <dcterms:created xsi:type="dcterms:W3CDTF">2026-10-10T04:47:16Z</dcterms:created>
  <dcterms:modified xsi:type="dcterms:W3CDTF">2026-10-10T04:47:16Z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