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dr.-elena-vasquez-ph.d."/>
    <w:p>
      <w:pPr>
        <w:pStyle w:val="Heading1"/>
      </w:pPr>
      <w:r>
        <w:t xml:space="preserve">Dr. Elena Vasquez, Ph.D.</w:t>
      </w:r>
    </w:p>
    <w:p>
      <w:pPr>
        <w:pStyle w:val="FirstParagraph"/>
      </w:pPr>
      <w:r>
        <w:t xml:space="preserve">Senior Economist &amp; Economic Consultant</w:t>
      </w:r>
    </w:p>
    <w:p>
      <w:pPr>
        <w:pStyle w:val="BodyText"/>
      </w:pPr>
      <w:r>
        <w:t xml:space="preserve">1200 Brickell Avenue, Suite 2400</w:t>
      </w:r>
    </w:p>
    <w:p>
      <w:pPr>
        <w:pStyle w:val="BodyText"/>
      </w:pPr>
      <w:r>
        <w:t xml:space="preserve">Miami, Florida 33131, United States</w:t>
      </w:r>
    </w:p>
    <w:p>
      <w:pPr>
        <w:pStyle w:val="BodyText"/>
      </w:pPr>
      <w:r>
        <w:t xml:space="preserve">Tel: (305) 555-0187 | Email: e.vasquez@vasquezeconomics.com</w:t>
      </w:r>
    </w:p>
    <w:p>
      <w:pPr>
        <w:pStyle w:val="BodyText"/>
      </w:pPr>
      <w:r>
        <w:t xml:space="preserve">EIN: 82-4471903</w:t>
      </w:r>
    </w:p>
    <w:p>
      <w:pPr>
        <w:pStyle w:val="BodyText"/>
      </w:pPr>
      <w:r>
        <w:t xml:space="preserve">Licensed Economist – State of Florida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April 1 – May 31, 2025</w:t>
      </w:r>
    </w:p>
    <w:bookmarkEnd w:id="21"/>
    <w:bookmarkStart w:id="22" w:name="bill-to"/>
    <w:p>
      <w:pPr>
        <w:pStyle w:val="Heading3"/>
      </w:pPr>
      <w:r>
        <w:t xml:space="preserve">Bill To</w:t>
      </w:r>
    </w:p>
    <w:p>
      <w:pPr>
        <w:pStyle w:val="FirstParagraph"/>
      </w:pPr>
      <w:r>
        <w:rPr>
          <w:bCs/>
          <w:b/>
        </w:rPr>
        <w:t xml:space="preserve">Miami-Dade County Economic Development Commission</w:t>
      </w:r>
    </w:p>
    <w:p>
      <w:pPr>
        <w:pStyle w:val="BodyText"/>
      </w:pPr>
      <w:r>
        <w:t xml:space="preserve">Attn: Director of Strategic Planning</w:t>
      </w:r>
    </w:p>
    <w:p>
      <w:pPr>
        <w:pStyle w:val="BodyText"/>
      </w:pPr>
      <w:r>
        <w:t xml:space="preserve">1102 NW 14th Street, 4th Floor</w:t>
      </w:r>
    </w:p>
    <w:p>
      <w:pPr>
        <w:pStyle w:val="BodyText"/>
      </w:pPr>
      <w:r>
        <w:t xml:space="preserve">Miami, Florida 33136, United States</w:t>
      </w:r>
    </w:p>
    <w:p>
      <w:pPr>
        <w:pStyle w:val="BodyText"/>
      </w:pPr>
      <w:r>
        <w:t xml:space="preserve">PO Number: MDEDC-2025-0342</w:t>
      </w:r>
    </w:p>
    <w:bookmarkEnd w:id="22"/>
    <w:bookmarkStart w:id="23" w:name="prepared-by"/>
    <w:p>
      <w:pPr>
        <w:pStyle w:val="Heading3"/>
      </w:pPr>
      <w:r>
        <w:t xml:space="preserve">Prepared By</w:t>
      </w:r>
    </w:p>
    <w:p>
      <w:pPr>
        <w:pStyle w:val="FirstParagraph"/>
      </w:pPr>
      <w:r>
        <w:rPr>
          <w:bCs/>
          <w:b/>
        </w:rPr>
        <w:t xml:space="preserve">Dr. Elena Vasquez, Ph.D.</w:t>
      </w:r>
    </w:p>
    <w:p>
      <w:pPr>
        <w:pStyle w:val="BodyText"/>
      </w:pPr>
      <w:r>
        <w:t xml:space="preserve">Economist &amp; Principal Consultant</w:t>
      </w:r>
    </w:p>
    <w:p>
      <w:pPr>
        <w:pStyle w:val="BodyText"/>
      </w:pPr>
      <w:r>
        <w:t xml:space="preserve">Vasquez Economic Advisory Group</w:t>
      </w:r>
    </w:p>
    <w:p>
      <w:pPr>
        <w:pStyle w:val="BodyText"/>
      </w:pPr>
      <w:r>
        <w:t xml:space="preserve">Miami, Florida, United States</w:t>
      </w:r>
    </w:p>
    <w:p>
      <w:pPr>
        <w:pStyle w:val="BodyText"/>
      </w:pPr>
      <w:r>
        <w:t xml:space="preserve">Florida Professional License: EC-2019-00482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 Rendered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Macroeconomic Analysis of Miami Metropolitan Area GDP Growth, Employment Trends, and Sectoral Performance for Q1 2025</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c>
          <w:tcPr/>
          <w:p>
            <w:pPr>
              <w:pStyle w:val="Compact"/>
              <w:jc w:val="left"/>
            </w:pPr>
            <w:r>
              <w:t xml:space="preserve">Apr 7–11, 2025</w:t>
            </w:r>
          </w:p>
        </w:tc>
      </w:tr>
      <w:tr>
        <w:tc>
          <w:tcPr/>
          <w:p>
            <w:pPr>
              <w:pStyle w:val="Compact"/>
              <w:jc w:val="left"/>
            </w:pPr>
            <w:r>
              <w:t xml:space="preserve">2</w:t>
            </w:r>
          </w:p>
        </w:tc>
        <w:tc>
          <w:tcPr/>
          <w:p>
            <w:pPr>
              <w:pStyle w:val="Compact"/>
              <w:jc w:val="left"/>
            </w:pPr>
            <w:r>
              <w:t xml:space="preserve">Preparation of Comprehensive Economic Forecast Report for the Miami, United States region covering 2025–2030, including inflation projections, housing market outlook, and tourism revenue modeling</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c>
          <w:tcPr/>
          <w:p>
            <w:pPr>
              <w:pStyle w:val="Compact"/>
              <w:jc w:val="left"/>
            </w:pPr>
            <w:r>
              <w:t xml:space="preserve">Apr 14–25, 2025</w:t>
            </w:r>
          </w:p>
        </w:tc>
      </w:tr>
      <w:tr>
        <w:tc>
          <w:tcPr/>
          <w:p>
            <w:pPr>
              <w:pStyle w:val="Compact"/>
              <w:jc w:val="left"/>
            </w:pPr>
            <w:r>
              <w:t xml:space="preserve">3</w:t>
            </w:r>
          </w:p>
        </w:tc>
        <w:tc>
          <w:tcPr/>
          <w:p>
            <w:pPr>
              <w:pStyle w:val="Compact"/>
              <w:jc w:val="left"/>
            </w:pPr>
            <w:r>
              <w:t xml:space="preserve">On-site Consultation and Presentation to the Miami-Dade County Board of Commissioners regarding fiscal policy recommendations and budget allocation strategies for infrastructure investment</w:t>
            </w:r>
          </w:p>
        </w:tc>
        <w:tc>
          <w:tcPr/>
          <w:p>
            <w:pPr>
              <w:pStyle w:val="Compact"/>
              <w:jc w:val="left"/>
            </w:pPr>
            <w:r>
              <w:t xml:space="preserve">8</w:t>
            </w:r>
          </w:p>
        </w:tc>
        <w:tc>
          <w:tcPr/>
          <w:p>
            <w:pPr>
              <w:pStyle w:val="Compact"/>
              <w:jc w:val="left"/>
            </w:pPr>
            <w:r>
              <w:t xml:space="preserve">$325.00</w:t>
            </w:r>
          </w:p>
        </w:tc>
        <w:tc>
          <w:tcPr/>
          <w:p>
            <w:pPr>
              <w:pStyle w:val="Compact"/>
              <w:jc w:val="left"/>
            </w:pPr>
            <w:r>
              <w:t xml:space="preserve">$2,600.00</w:t>
            </w:r>
          </w:p>
        </w:tc>
        <w:tc>
          <w:tcPr/>
          <w:p>
            <w:pPr>
              <w:pStyle w:val="Compact"/>
              <w:jc w:val="left"/>
            </w:pPr>
            <w:r>
              <w:t xml:space="preserve">Apr 28, 2025</w:t>
            </w:r>
          </w:p>
        </w:tc>
      </w:tr>
      <w:tr>
        <w:tc>
          <w:tcPr/>
          <w:p>
            <w:pPr>
              <w:pStyle w:val="Compact"/>
              <w:jc w:val="left"/>
            </w:pPr>
            <w:r>
              <w:t xml:space="preserve">4</w:t>
            </w:r>
          </w:p>
        </w:tc>
        <w:tc>
          <w:tcPr/>
          <w:p>
            <w:pPr>
              <w:pStyle w:val="Compact"/>
              <w:jc w:val="left"/>
            </w:pPr>
            <w:r>
              <w:t xml:space="preserve">Trade and International Commerce Analysis: Impact of Port of Miami logistics expansion on regional economic output and workforce development in the United States Southeast corridor</w:t>
            </w:r>
          </w:p>
        </w:tc>
        <w:tc>
          <w:tcPr/>
          <w:p>
            <w:pPr>
              <w:pStyle w:val="Compact"/>
              <w:jc w:val="left"/>
            </w:pPr>
            <w:r>
              <w:t xml:space="preserve">32</w:t>
            </w:r>
          </w:p>
        </w:tc>
        <w:tc>
          <w:tcPr/>
          <w:p>
            <w:pPr>
              <w:pStyle w:val="Compact"/>
              <w:jc w:val="left"/>
            </w:pPr>
            <w:r>
              <w:t xml:space="preserve">$275.00</w:t>
            </w:r>
          </w:p>
        </w:tc>
        <w:tc>
          <w:tcPr/>
          <w:p>
            <w:pPr>
              <w:pStyle w:val="Compact"/>
              <w:jc w:val="left"/>
            </w:pPr>
            <w:r>
              <w:t xml:space="preserve">$8,800.00</w:t>
            </w:r>
          </w:p>
        </w:tc>
        <w:tc>
          <w:tcPr/>
          <w:p>
            <w:pPr>
              <w:pStyle w:val="Compact"/>
              <w:jc w:val="left"/>
            </w:pPr>
            <w:r>
              <w:t xml:space="preserve">May 5–16, 2025</w:t>
            </w:r>
          </w:p>
        </w:tc>
      </w:tr>
      <w:tr>
        <w:tc>
          <w:tcPr/>
          <w:p>
            <w:pPr>
              <w:pStyle w:val="Compact"/>
              <w:jc w:val="left"/>
            </w:pPr>
            <w:r>
              <w:t xml:space="preserve">5</w:t>
            </w:r>
          </w:p>
        </w:tc>
        <w:tc>
          <w:tcPr/>
          <w:p>
            <w:pPr>
              <w:pStyle w:val="Compact"/>
              <w:jc w:val="left"/>
            </w:pPr>
            <w:r>
              <w:t xml:space="preserve">Development of Econometric Models for Small Business Viability Assessment in the Miami, United States downtown and Little Havana districts, including sensitivity analysis and policy scenario simulations</w:t>
            </w:r>
          </w:p>
        </w:tc>
        <w:tc>
          <w:tcPr/>
          <w:p>
            <w:pPr>
              <w:pStyle w:val="Compact"/>
              <w:jc w:val="left"/>
            </w:pPr>
            <w:r>
              <w:t xml:space="preserve">28</w:t>
            </w:r>
          </w:p>
        </w:tc>
        <w:tc>
          <w:tcPr/>
          <w:p>
            <w:pPr>
              <w:pStyle w:val="Compact"/>
              <w:jc w:val="left"/>
            </w:pPr>
            <w:r>
              <w:t xml:space="preserve">$275.00</w:t>
            </w:r>
          </w:p>
        </w:tc>
        <w:tc>
          <w:tcPr/>
          <w:p>
            <w:pPr>
              <w:pStyle w:val="Compact"/>
              <w:jc w:val="left"/>
            </w:pPr>
            <w:r>
              <w:t xml:space="preserve">$7,700.00</w:t>
            </w:r>
          </w:p>
        </w:tc>
        <w:tc>
          <w:tcPr/>
          <w:p>
            <w:pPr>
              <w:pStyle w:val="Compact"/>
              <w:jc w:val="left"/>
            </w:pPr>
            <w:r>
              <w:t xml:space="preserve">May 19–30, 2025</w:t>
            </w:r>
          </w:p>
        </w:tc>
      </w:tr>
      <w:tr>
        <w:tc>
          <w:tcPr/>
          <w:p>
            <w:pPr>
              <w:pStyle w:val="Compact"/>
              <w:jc w:val="left"/>
            </w:pPr>
            <w:r>
              <w:t xml:space="preserve">6</w:t>
            </w:r>
          </w:p>
        </w:tc>
        <w:tc>
          <w:tcPr/>
          <w:p>
            <w:pPr>
              <w:pStyle w:val="Compact"/>
              <w:jc w:val="left"/>
            </w:pPr>
            <w:r>
              <w:t xml:space="preserve">Final Report Compilation, Peer Review Coordination, and Submission of the Complete Economist Advisory Package to the Miami-Dade County Economic Development Commission</w:t>
            </w:r>
          </w:p>
        </w:tc>
        <w:tc>
          <w:tcPr/>
          <w:p>
            <w:pPr>
              <w:pStyle w:val="Compact"/>
              <w:jc w:val="left"/>
            </w:pPr>
            <w:r>
              <w:t xml:space="preserve">16</w:t>
            </w:r>
          </w:p>
        </w:tc>
        <w:tc>
          <w:tcPr/>
          <w:p>
            <w:pPr>
              <w:pStyle w:val="Compact"/>
              <w:jc w:val="left"/>
            </w:pPr>
            <w:r>
              <w:t xml:space="preserve">$275.00</w:t>
            </w:r>
          </w:p>
        </w:tc>
        <w:tc>
          <w:tcPr/>
          <w:p>
            <w:pPr>
              <w:pStyle w:val="Compact"/>
              <w:jc w:val="left"/>
            </w:pPr>
            <w:r>
              <w:t xml:space="preserve">$4,400.00</w:t>
            </w:r>
          </w:p>
        </w:tc>
        <w:tc>
          <w:tcPr/>
          <w:p>
            <w:pPr>
              <w:pStyle w:val="Compact"/>
              <w:jc w:val="left"/>
            </w:pPr>
            <w:r>
              <w:t xml:space="preserve">May 28–31,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$41,100.00</w:t>
            </w:r>
          </w:p>
        </w:tc>
      </w:tr>
      <w:tr>
        <w:tc>
          <w:tcPr/>
          <w:p>
            <w:pPr>
              <w:pStyle w:val="Compact"/>
              <w:jc w:val="left"/>
            </w:pPr>
            <w:r>
              <w:t xml:space="preserve">Florida State Sales Tax (7.0%)</w:t>
            </w:r>
          </w:p>
        </w:tc>
        <w:tc>
          <w:tcPr/>
          <w:p>
            <w:pPr>
              <w:pStyle w:val="Compact"/>
              <w:jc w:val="left"/>
            </w:pPr>
            <w:r>
              <w:t xml:space="preserve">$2,877.00</w:t>
            </w:r>
          </w:p>
        </w:tc>
      </w:tr>
      <w:tr>
        <w:tc>
          <w:tcPr/>
          <w:p>
            <w:pPr>
              <w:pStyle w:val="Compact"/>
              <w:jc w:val="left"/>
            </w:pPr>
            <w:r>
              <w:t xml:space="preserve">Miami-Dade County Surcharge (1.0%)</w:t>
            </w:r>
          </w:p>
        </w:tc>
        <w:tc>
          <w:tcPr/>
          <w:p>
            <w:pPr>
              <w:pStyle w:val="Compact"/>
              <w:jc w:val="left"/>
            </w:pPr>
            <w:r>
              <w:t xml:space="preserve">$411.00</w:t>
            </w:r>
          </w:p>
        </w:tc>
      </w:tr>
      <w:tr>
        <w:tc>
          <w:tcPr/>
          <w:p>
            <w:pPr>
              <w:pStyle w:val="Compact"/>
              <w:jc w:val="left"/>
            </w:pPr>
            <w:r>
              <w:t xml:space="preserve">Travel &amp; Local Transportation (Miami, United States)</w:t>
            </w:r>
          </w:p>
        </w:tc>
        <w:tc>
          <w:tcPr/>
          <w:p>
            <w:pPr>
              <w:pStyle w:val="Compact"/>
              <w:jc w:val="left"/>
            </w:pPr>
            <w:r>
              <w:t xml:space="preserve">$680.00</w:t>
            </w:r>
          </w:p>
        </w:tc>
      </w:tr>
      <w:tr>
        <w:tc>
          <w:tcPr/>
          <w:p>
            <w:pPr>
              <w:pStyle w:val="Compact"/>
              <w:jc w:val="left"/>
            </w:pPr>
            <w:r>
              <w:t xml:space="preserve">TOTAL AMOUNT DUE</w:t>
            </w:r>
          </w:p>
        </w:tc>
        <w:tc>
          <w:tcPr/>
          <w:p>
            <w:pPr>
              <w:pStyle w:val="Compact"/>
              <w:jc w:val="left"/>
            </w:pPr>
            <w:r>
              <w:t xml:space="preserve">$45,068.00</w:t>
            </w:r>
          </w:p>
        </w:tc>
      </w:tr>
    </w:tbl>
    <w:bookmarkStart w:id="24" w:name="invoice-notes-terms-of-engagement"/>
    <w:p>
      <w:pPr>
        <w:pStyle w:val="Heading3"/>
      </w:pPr>
      <w:r>
        <w:t xml:space="preserve">Invoice Notes &amp; Terms of Engagement</w:t>
      </w:r>
    </w:p>
    <w:p>
      <w:pPr>
        <w:pStyle w:val="FirstParagraph"/>
      </w:pPr>
      <w:r>
        <w:t xml:space="preserve">This Invoice documents the professional services rendered by Dr. Elena Vasquez, a licensed Economist operating in Miami, United States, under Contract Agreement MDEDC-2025-0342. All economic analyses, forecasts, and advisory recommendations contained within the deliverables were conducted in strict accordance with the American Economic Association (AEA) Code of Ethics and the Florida Board of Professional Economists' regulatory standards.</w:t>
      </w:r>
    </w:p>
    <w:p>
      <w:pPr>
        <w:pStyle w:val="BodyText"/>
      </w:pPr>
      <w:r>
        <w:t xml:space="preserve">The Economist services described herein were performed exclusively within the jurisdiction of Miami-Dade County, Florida, United States. All data sources utilized include the U.S. Bureau of Economic Analysis (BEA), the Federal Reserve Bank of Atlanta, the Miami-Dade County Office of Research and Data Analysis, and the U.S. Census Bureau's Miami metropolitan statistical area datasets.</w:t>
      </w:r>
    </w:p>
    <w:p>
      <w:pPr>
        <w:pStyle w:val="BodyText"/>
      </w:pPr>
      <w:r>
        <w:t xml:space="preserve">Payment of this Invoice is due within thirty (30) calendar days of the date of issuance. Late payments shall accrue interest at a rate of 1.5% per month, in compliance with Florida Statute Chapter 668. Please reference Invoice number INV-2025-0487 on all correspondence and remittances.</w:t>
      </w:r>
    </w:p>
    <w:bookmarkEnd w:id="24"/>
    <w:bookmarkStart w:id="25" w:name="payment-instructions"/>
    <w:p>
      <w:pPr>
        <w:pStyle w:val="Heading3"/>
      </w:pPr>
      <w:r>
        <w:t xml:space="preserve">Payment Instructions</w:t>
      </w:r>
    </w:p>
    <w:p>
      <w:pPr>
        <w:pStyle w:val="FirstParagraph"/>
      </w:pPr>
      <w:r>
        <w:rPr>
          <w:bCs/>
          <w:b/>
        </w:rPr>
        <w:t xml:space="preserve">Bank Transfer (ACH/Wire):</w:t>
      </w:r>
      <w:r>
        <w:t xml:space="preserve"> </w:t>
      </w:r>
      <w:r>
        <w:t xml:space="preserve">First National Bank of Miami, United States</w:t>
      </w:r>
    </w:p>
    <w:p>
      <w:pPr>
        <w:pStyle w:val="BodyText"/>
      </w:pPr>
      <w:r>
        <w:t xml:space="preserve">Account Name: Vasquez Economic Advisory Group LLC</w:t>
      </w:r>
    </w:p>
    <w:p>
      <w:pPr>
        <w:pStyle w:val="BodyText"/>
      </w:pPr>
      <w:r>
        <w:t xml:space="preserve">Routing Number: 021000021 | Account Number: ****-****-4821</w:t>
      </w:r>
    </w:p>
    <w:p>
      <w:pPr>
        <w:pStyle w:val="BodyText"/>
      </w:pPr>
      <w:r>
        <w:rPr>
          <w:bCs/>
          <w:b/>
        </w:rPr>
        <w:t xml:space="preserve">Check:</w:t>
      </w:r>
      <w:r>
        <w:t xml:space="preserve"> </w:t>
      </w:r>
      <w:r>
        <w:t xml:space="preserve">Payable to "Vasquez Economic Advisory Group LLC," mailed to 1200 Brickell Avenue, Suite 2400, Miami, FL 33131, United States</w:t>
      </w:r>
    </w:p>
    <w:p>
      <w:pPr>
        <w:pStyle w:val="BodyText"/>
      </w:pPr>
      <w:r>
        <w:rPr>
          <w:bCs/>
          <w:b/>
        </w:rPr>
        <w:t xml:space="preserve">Electronic Payment Portal:</w:t>
      </w:r>
      <w:r>
        <w:t xml:space="preserve"> </w:t>
      </w:r>
      <w:r>
        <w:t xml:space="preserve">www.midec.gov/invoice-payment (Reference: INV-2025-0487)</w:t>
      </w:r>
    </w:p>
    <w:bookmarkEnd w:id="25"/>
    <w:p>
      <w:pPr>
        <w:pStyle w:val="BodyText"/>
      </w:pPr>
      <w:r>
        <w:rPr>
          <w:bCs/>
          <w:b/>
        </w:rPr>
        <w:t xml:space="preserve">Dr. Elena Vasquez, Ph.D. – Economist</w:t>
      </w:r>
      <w:r>
        <w:t xml:space="preserve"> </w:t>
      </w:r>
      <w:r>
        <w:t xml:space="preserve">| Vasquez Economic Advisory Group LLC</w:t>
      </w:r>
    </w:p>
    <w:p>
      <w:pPr>
        <w:pStyle w:val="BodyText"/>
      </w:pPr>
      <w:r>
        <w:t xml:space="preserve">1200 Brickell Avenue, Suite 2400, Miami, Florida 33131, United States</w:t>
      </w:r>
    </w:p>
    <w:p>
      <w:pPr>
        <w:pStyle w:val="BodyText"/>
      </w:pPr>
      <w:r>
        <w:t xml:space="preserve">Florida Professional Economist License: EC-2019-00482 | EIN: 82-4471903</w:t>
      </w:r>
    </w:p>
    <w:p>
      <w:pPr>
        <w:pStyle w:val="BodyText"/>
      </w:pPr>
      <w:r>
        <w:t xml:space="preserve">This Invoice is valid for 90 days from the date of issuance. For questions regarding this Invoice or the Economist services rendered, please contact the undersigned at (305) 555-0187 or e.vasquez@vasquezeconomics.com.</w:t>
      </w:r>
    </w:p>
    <w:p>
      <w:pPr>
        <w:pStyle w:val="BodyText"/>
      </w:pPr>
      <w:r>
        <w:t xml:space="preserve">Thank you for your business. We are committed to providing the highest standard of economic expertise to the Miami, United States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Miami, United States</dc:title>
  <dc:creator/>
  <dc:language>en</dc:language>
  <cp:keywords/>
  <dcterms:created xsi:type="dcterms:W3CDTF">2026-10-10T08:09:35Z</dcterms:created>
  <dcterms:modified xsi:type="dcterms:W3CDTF">2026-10-10T08:09:35Z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