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invoice"/>
    <w:p>
      <w:pPr>
        <w:pStyle w:val="Heading1"/>
      </w:pPr>
      <w:r>
        <w:t xml:space="preserve">INVOICE</w:t>
      </w:r>
    </w:p>
    <w:p>
      <w:pPr>
        <w:pStyle w:val="FirstParagraph"/>
      </w:pPr>
      <w:r>
        <w:t xml:space="preserve">Professional Economist Consulting Services</w:t>
      </w:r>
    </w:p>
    <w:p>
      <w:pPr>
        <w:pStyle w:val="BodyText"/>
      </w:pPr>
      <w:r>
        <w:t xml:space="preserve">United States New York City</w:t>
      </w:r>
    </w:p>
    <w:bookmarkEnd w:id="20"/>
    <w:p>
      <w:pPr>
        <w:pStyle w:val="BodyText"/>
      </w:pPr>
      <w:r>
        <w:rPr>
          <w:bCs/>
          <w:b/>
        </w:rPr>
        <w:t xml:space="preserve">Invoice Number:</w:t>
      </w:r>
      <w:r>
        <w:t xml:space="preserve"> </w:t>
      </w:r>
      <w:r>
        <w:t xml:space="preserve">INV-2025-NYC-04871</w:t>
      </w:r>
    </w:p>
    <w:p>
      <w:pPr>
        <w:pStyle w:val="BodyText"/>
      </w:pPr>
      <w:r>
        <w:rPr>
          <w:bCs/>
          <w:b/>
        </w:rPr>
        <w:t xml:space="preserve">Date Issued:</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w:t>
      </w:r>
    </w:p>
    <w:p>
      <w:pPr>
        <w:pStyle w:val="BodyText"/>
      </w:pPr>
      <w:r>
        <w:rPr>
          <w:bCs/>
          <w:b/>
        </w:rPr>
        <w:t xml:space="preserve">Currency:</w:t>
      </w:r>
      <w:r>
        <w:t xml:space="preserve"> </w:t>
      </w:r>
      <w:r>
        <w:t xml:space="preserve">USD (United States Dollar)</w:t>
      </w:r>
    </w:p>
    <w:bookmarkStart w:id="21" w:name="bill-from-service-provider"/>
    <w:p>
      <w:pPr>
        <w:pStyle w:val="Heading3"/>
      </w:pPr>
      <w:r>
        <w:t xml:space="preserve">Bill From (Service Provider)</w:t>
      </w:r>
    </w:p>
    <w:p>
      <w:pPr>
        <w:pStyle w:val="FirstParagraph"/>
      </w:pPr>
      <w:r>
        <w:rPr>
          <w:bCs/>
          <w:b/>
        </w:rPr>
        <w:t xml:space="preserve">Dr. Margaret A. Whitfield, Ph.D. (Economist)</w:t>
      </w:r>
    </w:p>
    <w:p>
      <w:pPr>
        <w:pStyle w:val="BodyText"/>
      </w:pPr>
      <w:r>
        <w:t xml:space="preserve">Whitfield Economic Advisory Group</w:t>
      </w:r>
    </w:p>
    <w:p>
      <w:pPr>
        <w:pStyle w:val="BodyText"/>
      </w:pPr>
      <w:r>
        <w:t xml:space="preserve">350 Fifth Avenue, Suite 4200</w:t>
      </w:r>
    </w:p>
    <w:p>
      <w:pPr>
        <w:pStyle w:val="BodyText"/>
      </w:pPr>
      <w:r>
        <w:t xml:space="preserve">New York, New York 10118</w:t>
      </w:r>
    </w:p>
    <w:p>
      <w:pPr>
        <w:pStyle w:val="BodyText"/>
      </w:pPr>
      <w:r>
        <w:t xml:space="preserve">United States</w:t>
      </w:r>
    </w:p>
    <w:p>
      <w:pPr>
        <w:pStyle w:val="BodyText"/>
      </w:pPr>
      <w:r>
        <w:t xml:space="preserve">Tel: (212) 555-0147</w:t>
      </w:r>
    </w:p>
    <w:p>
      <w:pPr>
        <w:pStyle w:val="BodyText"/>
      </w:pPr>
      <w:r>
        <w:t xml:space="preserve">Email: m.whitfield@whitfieldecon.com</w:t>
      </w:r>
    </w:p>
    <w:p>
      <w:pPr>
        <w:pStyle w:val="BodyText"/>
      </w:pPr>
      <w:r>
        <w:t xml:space="preserve">EIN: 84-2917365</w:t>
      </w:r>
    </w:p>
    <w:bookmarkEnd w:id="21"/>
    <w:bookmarkStart w:id="22" w:name="bill-to-client"/>
    <w:p>
      <w:pPr>
        <w:pStyle w:val="Heading3"/>
      </w:pPr>
      <w:r>
        <w:t xml:space="preserve">Bill To (Client)</w:t>
      </w:r>
    </w:p>
    <w:p>
      <w:pPr>
        <w:pStyle w:val="FirstParagraph"/>
      </w:pPr>
      <w:r>
        <w:rPr>
          <w:bCs/>
          <w:b/>
        </w:rPr>
        <w:t xml:space="preserve">Meridian Capital Partners LLC</w:t>
      </w:r>
    </w:p>
    <w:p>
      <w:pPr>
        <w:pStyle w:val="BodyText"/>
      </w:pPr>
      <w:r>
        <w:t xml:space="preserve">Attention: Chief Financial Officer</w:t>
      </w:r>
    </w:p>
    <w:p>
      <w:pPr>
        <w:pStyle w:val="BodyText"/>
      </w:pPr>
      <w:r>
        <w:t xml:space="preserve">200 Park Avenue, 38th Floor</w:t>
      </w:r>
    </w:p>
    <w:p>
      <w:pPr>
        <w:pStyle w:val="BodyText"/>
      </w:pPr>
      <w:r>
        <w:t xml:space="preserve">New York, New York 10166</w:t>
      </w:r>
    </w:p>
    <w:p>
      <w:pPr>
        <w:pStyle w:val="BodyText"/>
      </w:pPr>
      <w:r>
        <w:t xml:space="preserve">United States</w:t>
      </w:r>
    </w:p>
    <w:p>
      <w:pPr>
        <w:pStyle w:val="BodyText"/>
      </w:pPr>
      <w:r>
        <w:t xml:space="preserve">Tel: (212) 555-0892</w:t>
      </w:r>
    </w:p>
    <w:p>
      <w:pPr>
        <w:pStyle w:val="BodyText"/>
      </w:pPr>
      <w:r>
        <w:t xml:space="preserve">Email: cfo@meridiancapital.com</w:t>
      </w:r>
    </w:p>
    <w:bookmarkEnd w:id="22"/>
    <w:bookmarkStart w:id="24" w:name="X0c8e8e8d222880abdfceac1ab14790bc81e4706"/>
    <w:p>
      <w:pPr>
        <w:pStyle w:val="Heading2"/>
      </w:pPr>
      <w:r>
        <w:t xml:space="preserve">Description of Economist Services Rendered</w:t>
      </w:r>
    </w:p>
    <w:p>
      <w:pPr>
        <w:pStyle w:val="FirstParagraph"/>
      </w:pPr>
      <w:r>
        <w:t xml:space="preserve">The following Invoice documents professional economic analysis, macroeconomic forecasting, and strategic advisory services provided by a certified Economist operating within the jurisdiction of the United States New York City. All services were performed in compliance with applicable New York State and federal regulations governing professional economic consulting.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Macroeconomic Analysis of Q2 2025 United States New York City labor market trends, including unemployment rate projections and wage inflation modeling for the metropolitan area.</w:t>
            </w:r>
          </w:p>
        </w:tc>
        <w:tc>
          <w:tcPr/>
          <w:p>
            <w:pPr>
              <w:pStyle w:val="Compact"/>
              <w:jc w:val="left"/>
            </w:pPr>
            <w:r>
              <w:t xml:space="preserve">May 5 – May 16, 2025</w:t>
            </w:r>
          </w:p>
        </w:tc>
        <w:tc>
          <w:tcPr/>
          <w:p>
            <w:pPr>
              <w:pStyle w:val="Compact"/>
              <w:jc w:val="left"/>
            </w:pPr>
            <w:r>
              <w:t xml:space="preserve">32</w:t>
            </w:r>
          </w:p>
        </w:tc>
        <w:tc>
          <w:tcPr/>
          <w:p>
            <w:pPr>
              <w:pStyle w:val="Compact"/>
              <w:jc w:val="left"/>
            </w:pPr>
            <w:r>
              <w:t xml:space="preserve">$275.00</w:t>
            </w:r>
          </w:p>
        </w:tc>
        <w:tc>
          <w:tcPr/>
          <w:p>
            <w:pPr>
              <w:pStyle w:val="Compact"/>
              <w:jc w:val="left"/>
            </w:pPr>
            <w:r>
              <w:t xml:space="preserve">$8,800.00</w:t>
            </w:r>
          </w:p>
        </w:tc>
      </w:tr>
      <w:tr>
        <w:tc>
          <w:tcPr/>
          <w:p>
            <w:pPr>
              <w:pStyle w:val="Compact"/>
              <w:jc w:val="left"/>
            </w:pPr>
            <w:r>
              <w:t xml:space="preserve">2</w:t>
            </w:r>
          </w:p>
        </w:tc>
        <w:tc>
          <w:tcPr/>
          <w:p>
            <w:pPr>
              <w:pStyle w:val="Compact"/>
              <w:jc w:val="left"/>
            </w:pPr>
            <w:r>
              <w:t xml:space="preserve">Preparation of comprehensive economic impact assessment for proposed commercial development in Manhattan, United States New York City, including multiplier effects on local GDP and tax revenue projections.</w:t>
            </w:r>
          </w:p>
        </w:tc>
        <w:tc>
          <w:tcPr/>
          <w:p>
            <w:pPr>
              <w:pStyle w:val="Compact"/>
              <w:jc w:val="left"/>
            </w:pPr>
            <w:r>
              <w:t xml:space="preserve">May 19 – May 30, 2025</w:t>
            </w:r>
          </w:p>
        </w:tc>
        <w:tc>
          <w:tcPr/>
          <w:p>
            <w:pPr>
              <w:pStyle w:val="Compact"/>
              <w:jc w:val="left"/>
            </w:pPr>
            <w:r>
              <w:t xml:space="preserve">40</w:t>
            </w:r>
          </w:p>
        </w:tc>
        <w:tc>
          <w:tcPr/>
          <w:p>
            <w:pPr>
              <w:pStyle w:val="Compact"/>
              <w:jc w:val="left"/>
            </w:pPr>
            <w:r>
              <w:t xml:space="preserve">$275.00</w:t>
            </w:r>
          </w:p>
        </w:tc>
        <w:tc>
          <w:tcPr/>
          <w:p>
            <w:pPr>
              <w:pStyle w:val="Compact"/>
              <w:jc w:val="left"/>
            </w:pPr>
            <w:r>
              <w:t xml:space="preserve">$11,000.00</w:t>
            </w:r>
          </w:p>
        </w:tc>
      </w:tr>
      <w:tr>
        <w:tc>
          <w:tcPr/>
          <w:p>
            <w:pPr>
              <w:pStyle w:val="Compact"/>
              <w:jc w:val="left"/>
            </w:pPr>
            <w:r>
              <w:t xml:space="preserve">3</w:t>
            </w:r>
          </w:p>
        </w:tc>
        <w:tc>
          <w:tcPr/>
          <w:p>
            <w:pPr>
              <w:pStyle w:val="Compact"/>
              <w:jc w:val="left"/>
            </w:pPr>
            <w:r>
              <w:t xml:space="preserve">Strategic advisory session with Meridian Capital Partners executive team regarding Federal Reserve monetary policy implications for fixed-income portfolio allocation in the United States New York City financial district.</w:t>
            </w:r>
          </w:p>
        </w:tc>
        <w:tc>
          <w:tcPr/>
          <w:p>
            <w:pPr>
              <w:pStyle w:val="Compact"/>
              <w:jc w:val="left"/>
            </w:pPr>
            <w:r>
              <w:t xml:space="preserve">June 2, 2025</w:t>
            </w:r>
          </w:p>
        </w:tc>
        <w:tc>
          <w:tcPr/>
          <w:p>
            <w:pPr>
              <w:pStyle w:val="Compact"/>
              <w:jc w:val="left"/>
            </w:pPr>
            <w:r>
              <w:t xml:space="preserve">6</w:t>
            </w:r>
          </w:p>
        </w:tc>
        <w:tc>
          <w:tcPr/>
          <w:p>
            <w:pPr>
              <w:pStyle w:val="Compact"/>
              <w:jc w:val="left"/>
            </w:pPr>
            <w:r>
              <w:t xml:space="preserve">$350.00</w:t>
            </w:r>
          </w:p>
        </w:tc>
        <w:tc>
          <w:tcPr/>
          <w:p>
            <w:pPr>
              <w:pStyle w:val="Compact"/>
              <w:jc w:val="left"/>
            </w:pPr>
            <w:r>
              <w:t xml:space="preserve">$2,100.00</w:t>
            </w:r>
          </w:p>
        </w:tc>
      </w:tr>
      <w:tr>
        <w:tc>
          <w:tcPr/>
          <w:p>
            <w:pPr>
              <w:pStyle w:val="Compact"/>
              <w:jc w:val="left"/>
            </w:pPr>
            <w:r>
              <w:t xml:space="preserve">4</w:t>
            </w:r>
          </w:p>
        </w:tc>
        <w:tc>
          <w:tcPr/>
          <w:p>
            <w:pPr>
              <w:pStyle w:val="Compact"/>
              <w:jc w:val="left"/>
            </w:pPr>
            <w:r>
              <w:t xml:space="preserve">Econometric modeling and regression analysis of commercial real estate pricing dynamics across all five boroughs of United States New York City, incorporating interest rate sensitivity and demographic shift variables.</w:t>
            </w:r>
          </w:p>
        </w:tc>
        <w:tc>
          <w:tcPr/>
          <w:p>
            <w:pPr>
              <w:pStyle w:val="Compact"/>
              <w:jc w:val="left"/>
            </w:pPr>
            <w:r>
              <w:t xml:space="preserve">June 3 – June 10, 2025</w:t>
            </w:r>
          </w:p>
        </w:tc>
        <w:tc>
          <w:tcPr/>
          <w:p>
            <w:pPr>
              <w:pStyle w:val="Compact"/>
              <w:jc w:val="left"/>
            </w:pPr>
            <w:r>
              <w:t xml:space="preserve">28</w:t>
            </w:r>
          </w:p>
        </w:tc>
        <w:tc>
          <w:tcPr/>
          <w:p>
            <w:pPr>
              <w:pStyle w:val="Compact"/>
              <w:jc w:val="left"/>
            </w:pPr>
            <w:r>
              <w:t xml:space="preserve">$275.00</w:t>
            </w:r>
          </w:p>
        </w:tc>
        <w:tc>
          <w:tcPr/>
          <w:p>
            <w:pPr>
              <w:pStyle w:val="Compact"/>
              <w:jc w:val="left"/>
            </w:pPr>
            <w:r>
              <w:t xml:space="preserve">$7,700.00</w:t>
            </w:r>
          </w:p>
        </w:tc>
      </w:tr>
      <w:tr>
        <w:tc>
          <w:tcPr/>
          <w:p>
            <w:pPr>
              <w:pStyle w:val="Compact"/>
              <w:jc w:val="left"/>
            </w:pPr>
            <w:r>
              <w:t xml:space="preserve">5</w:t>
            </w:r>
          </w:p>
        </w:tc>
        <w:tc>
          <w:tcPr/>
          <w:p>
            <w:pPr>
              <w:pStyle w:val="Compact"/>
              <w:jc w:val="left"/>
            </w:pPr>
            <w:r>
              <w:t xml:space="preserve">Written report: "Economic Outlook for United States New York City: 2025–2028 Forecast" — a 45-page analytical document prepared by the Economist for internal use by Meridian Capital Partners, covering fiscal policy, trade balance, and sectoral growth projections.</w:t>
            </w:r>
          </w:p>
        </w:tc>
        <w:tc>
          <w:tcPr/>
          <w:p>
            <w:pPr>
              <w:pStyle w:val="Compact"/>
              <w:jc w:val="left"/>
            </w:pPr>
            <w:r>
              <w:t xml:space="preserve">June 11 – June 14, 2025</w:t>
            </w:r>
          </w:p>
        </w:tc>
        <w:tc>
          <w:tcPr/>
          <w:p>
            <w:pPr>
              <w:pStyle w:val="Compact"/>
              <w:jc w:val="left"/>
            </w:pPr>
            <w:r>
              <w:t xml:space="preserve">18</w:t>
            </w:r>
          </w:p>
        </w:tc>
        <w:tc>
          <w:tcPr/>
          <w:p>
            <w:pPr>
              <w:pStyle w:val="Compact"/>
              <w:jc w:val="left"/>
            </w:pPr>
            <w:r>
              <w:t xml:space="preserve">$275.00</w:t>
            </w:r>
          </w:p>
        </w:tc>
        <w:tc>
          <w:tcPr/>
          <w:p>
            <w:pPr>
              <w:pStyle w:val="Compact"/>
              <w:jc w:val="left"/>
            </w:pPr>
            <w:r>
              <w:t xml:space="preserve">$4,950.00</w:t>
            </w:r>
          </w:p>
        </w:tc>
      </w:tr>
      <w:tr>
        <w:tc>
          <w:tcPr/>
          <w:p>
            <w:pPr>
              <w:pStyle w:val="Compact"/>
              <w:jc w:val="left"/>
            </w:pPr>
            <w:r>
              <w:t xml:space="preserve">6</w:t>
            </w:r>
          </w:p>
        </w:tc>
        <w:tc>
          <w:tcPr/>
          <w:p>
            <w:pPr>
              <w:pStyle w:val="Compact"/>
              <w:jc w:val="left"/>
            </w:pPr>
            <w:r>
              <w:t xml:space="preserve">Travel and incidental expenses incurred while conducting on-site data collection at the New York State Department of Labor offices and the Federal Reserve Bank of New York, both located in United States New York City.</w:t>
            </w:r>
          </w:p>
        </w:tc>
        <w:tc>
          <w:tcPr/>
          <w:p>
            <w:pPr>
              <w:pStyle w:val="Compact"/>
              <w:jc w:val="left"/>
            </w:pPr>
            <w:r>
              <w:t xml:space="preserve">May – June 2025</w:t>
            </w:r>
          </w:p>
        </w:tc>
        <w:tc>
          <w:tcPr/>
          <w:p>
            <w:pPr>
              <w:pStyle w:val="Compact"/>
              <w:jc w:val="left"/>
            </w:pPr>
            <w:r>
              <w:t xml:space="preserve">—</w:t>
            </w:r>
          </w:p>
        </w:tc>
        <w:tc>
          <w:tcPr/>
          <w:p>
            <w:pPr>
              <w:pStyle w:val="Compact"/>
              <w:jc w:val="left"/>
            </w:pPr>
            <w:r>
              <w:t xml:space="preserve">—</w:t>
            </w:r>
          </w:p>
        </w:tc>
        <w:tc>
          <w:tcPr/>
          <w:p>
            <w:pPr>
              <w:pStyle w:val="Compact"/>
              <w:jc w:val="left"/>
            </w:pPr>
            <w:r>
              <w:t xml:space="preserve">$1,240.00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$35,790.00</w:t>
            </w:r>
          </w:p>
        </w:tc>
      </w:tr>
      <w:tr>
        <w:tc>
          <w:tcPr/>
          <w:p>
            <w:pPr>
              <w:pStyle w:val="Compact"/>
              <w:jc w:val="left"/>
            </w:pPr>
            <w:r>
              <w:t xml:space="preserve">Applicable New York State Sales Tax (8.875%)</w:t>
            </w:r>
          </w:p>
        </w:tc>
        <w:tc>
          <w:tcPr/>
          <w:p>
            <w:pPr>
              <w:pStyle w:val="Compact"/>
              <w:jc w:val="right"/>
            </w:pPr>
            <w:r>
              <w:t xml:space="preserve">$3,176.27</w:t>
            </w:r>
          </w:p>
        </w:tc>
      </w:tr>
      <w:tr>
        <w:tc>
          <w:tcPr/>
          <w:p>
            <w:pPr>
              <w:pStyle w:val="Compact"/>
              <w:jc w:val="left"/>
            </w:pPr>
            <w:r>
              <w:t xml:space="preserve">New York City Local Sales Tax (0.3%)</w:t>
            </w:r>
          </w:p>
        </w:tc>
        <w:tc>
          <w:tcPr/>
          <w:p>
            <w:pPr>
              <w:pStyle w:val="Compact"/>
              <w:jc w:val="right"/>
            </w:pPr>
            <w:r>
              <w:t xml:space="preserve">$107.37</w:t>
            </w:r>
          </w:p>
        </w:tc>
      </w:tr>
      <w:tr>
        <w:tc>
          <w:tcPr/>
          <w:p>
            <w:pPr>
              <w:pStyle w:val="Compact"/>
              <w:jc w:val="left"/>
            </w:pPr>
            <w:r>
              <w:t xml:space="preserve">Early Payment Discount (2% if paid before June 30, 2025)</w:t>
            </w:r>
          </w:p>
        </w:tc>
        <w:tc>
          <w:tcPr/>
          <w:p>
            <w:pPr>
              <w:pStyle w:val="Compact"/>
              <w:jc w:val="right"/>
            </w:pPr>
            <w:r>
              <w:t xml:space="preserve">($715.80)</w:t>
            </w:r>
          </w:p>
        </w:tc>
      </w:tr>
      <w:tr>
        <w:tc>
          <w:tcPr/>
          <w:p>
            <w:pPr>
              <w:pStyle w:val="Compact"/>
              <w:jc w:val="left"/>
            </w:pPr>
            <w:r>
              <w:t xml:space="preserve">Grand Total Due</w:t>
            </w:r>
          </w:p>
        </w:tc>
        <w:tc>
          <w:tcPr/>
          <w:p>
            <w:pPr>
              <w:pStyle w:val="Compact"/>
              <w:jc w:val="right"/>
            </w:pPr>
            <w:r>
              <w:t xml:space="preserve">$38,297.84</w:t>
            </w:r>
          </w:p>
        </w:tc>
      </w:tr>
    </w:tbl>
    <w:bookmarkStart w:id="23" w:name="payment-instructions-important-notes"/>
    <w:p>
      <w:pPr>
        <w:pStyle w:val="Heading3"/>
      </w:pPr>
      <w:r>
        <w:t xml:space="preserve">Payment Instructions &amp; Important Notes</w:t>
      </w:r>
    </w:p>
    <w:p>
      <w:pPr>
        <w:pStyle w:val="FirstParagraph"/>
      </w:pPr>
      <w:r>
        <w:rPr>
          <w:bCs/>
          <w:b/>
        </w:rPr>
        <w:t xml:space="preserve">Wire Transfer:</w:t>
      </w:r>
      <w:r>
        <w:t xml:space="preserve"> </w:t>
      </w:r>
      <w:r>
        <w:t xml:space="preserve">First National Bank of New York, United States New York City. Routing Number: 026009593. Account Number: 4471-8829-003. Reference: INV-2025-NYC-04871.</w:t>
      </w:r>
    </w:p>
    <w:p>
      <w:pPr>
        <w:pStyle w:val="BodyText"/>
      </w:pPr>
      <w:r>
        <w:rPr>
          <w:bCs/>
          <w:b/>
        </w:rPr>
        <w:t xml:space="preserve">Check:</w:t>
      </w:r>
      <w:r>
        <w:t xml:space="preserve"> </w:t>
      </w:r>
      <w:r>
        <w:t xml:space="preserve">Payable to "Whitfield Economic Advisory Group." Mail to 350 Fifth Avenue, Suite 4200, New York, NY 10118, United States.</w:t>
      </w:r>
    </w:p>
    <w:p>
      <w:pPr>
        <w:pStyle w:val="BodyText"/>
      </w:pPr>
      <w:r>
        <w:rPr>
          <w:bCs/>
          <w:b/>
        </w:rPr>
        <w:t xml:space="preserve">Electronic Payment (ACH):</w:t>
      </w:r>
      <w:r>
        <w:t xml:space="preserve"> </w:t>
      </w:r>
      <w:r>
        <w:t xml:space="preserve">Available upon request. Please contact the billing department at billing@whitfieldecon.com.</w:t>
      </w:r>
    </w:p>
    <w:p>
      <w:pPr>
        <w:pStyle w:val="BodyText"/>
      </w:pPr>
      <w:r>
        <w:rPr>
          <w:bCs/>
          <w:b/>
        </w:rPr>
        <w:t xml:space="preserve">Terms and Conditions:</w:t>
      </w:r>
      <w:r>
        <w:t xml:space="preserve"> </w:t>
      </w:r>
      <w:r>
        <w:t xml:space="preserve">This Invoice is issued in accordance with the professional services agreement dated March 1, 2025, between Whitfield Economic Advisory Group (the Economist) and Meridian Capital Partners LLC. All economic analyses, forecasts, and advisory opinions provided are based on data available at the time of preparation and are subject to revision as new information becomes available. The Economist warrants that all services were performed with professional diligence and in accordance with the standards of the American Economic Association and the New York State Department of State professional licensing requirements.</w:t>
      </w:r>
    </w:p>
    <w:p>
      <w:pPr>
        <w:pStyle w:val="BodyText"/>
      </w:pPr>
      <w:r>
        <w:rPr>
          <w:bCs/>
          <w:b/>
        </w:rPr>
        <w:t xml:space="preserve">Late Payment:</w:t>
      </w:r>
      <w:r>
        <w:t xml:space="preserve"> </w:t>
      </w:r>
      <w:r>
        <w:t xml:space="preserve">A late fee of 1.5% per month will be applied to any balance remaining outstanding after the due date of July 15, 2025, in compliance with New York State commercial code provisions applicable within the United States New York City jurisdiction.</w:t>
      </w:r>
    </w:p>
    <w:p>
      <w:pPr>
        <w:pStyle w:val="BodyText"/>
      </w:pPr>
      <w:r>
        <w:rPr>
          <w:bCs/>
          <w:b/>
        </w:rPr>
        <w:t xml:space="preserve">Tax Compliance:</w:t>
      </w:r>
      <w:r>
        <w:t xml:space="preserve"> </w:t>
      </w:r>
      <w:r>
        <w:t xml:space="preserve">This Invoice has been prepared in compliance with the Internal Revenue Code (26 U.S.C.), New York State Tax Law, and the New York City Administrative Code. A copy of this Invoice must be retained for a minimum of seven (7) years in accordance with United States federal tax record-keeping requirements.</w:t>
      </w:r>
    </w:p>
    <w:p>
      <w:pPr>
        <w:pStyle w:val="BodyText"/>
      </w:pPr>
      <w:r>
        <w:rPr>
          <w:bCs/>
          <w:b/>
        </w:rPr>
        <w:t xml:space="preserve">Confidentiality:</w:t>
      </w:r>
      <w:r>
        <w:t xml:space="preserve"> </w:t>
      </w:r>
      <w:r>
        <w:t xml:space="preserve">All economic data, proprietary models, and analytical findings contained in the deliverables referenced in this Invoice are the exclusive intellectual property of the Economist and are provided solely for the internal use of Meridian Capital Partners LLC. Redistribution, publication, or disclosure to third parties without written consent is strictly prohibited under the terms of the governing agreement.</w:t>
      </w:r>
    </w:p>
    <w:bookmarkEnd w:id="23"/>
    <w:p>
      <w:pPr>
        <w:pStyle w:val="BodyText"/>
      </w:pPr>
      <w:r>
        <w:t xml:space="preserve">This Invoice was generated and issued in the United States New York City by a licensed professional Economist. Whitfield Economic Advisory Group is registered with the New York State Department of State, Division of Corporations, and holds a valid Certificate of Authority to conduct business in the City of New York.</w:t>
      </w:r>
    </w:p>
    <w:p>
      <w:pPr>
        <w:pStyle w:val="BodyText"/>
      </w:pPr>
      <w:r>
        <w:t xml:space="preserve">For questions regarding this Invoice, please contact the billing office at (212) 555-0147 or billing@whitfieldecon.com. Thank you for your business.</w:t>
      </w:r>
    </w:p>
    <w:p>
      <w:pPr>
        <w:pStyle w:val="BodyText"/>
      </w:pPr>
      <w:r>
        <w:t xml:space="preserve">Invoice INV-2025-NYC-04871 | United States New York City | Issued: June 15, 2025 |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Economist Services - United States New York City</dc:title>
  <dc:creator/>
  <dc:language>en</dc:language>
  <cp:keywords/>
  <dcterms:created xsi:type="dcterms:W3CDTF">2026-10-10T07:49:26Z</dcterms:created>
  <dcterms:modified xsi:type="dcterms:W3CDTF">2026-10-10T07:49:26Z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