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Economist</w:t>
      </w:r>
      <w:r>
        <w:t xml:space="preserve"> </w:t>
      </w:r>
      <w:r>
        <w:t xml:space="preserve">Consulting</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bay-area-economic-advisory-group"/>
    <w:p>
      <w:pPr>
        <w:pStyle w:val="Heading1"/>
      </w:pPr>
      <w:r>
        <w:t xml:space="preserve">Bay Area Economic Advisory Group</w:t>
      </w:r>
    </w:p>
    <w:p>
      <w:pPr>
        <w:pStyle w:val="FirstParagraph"/>
      </w:pPr>
      <w:r>
        <w:t xml:space="preserve">1250 Market Street, Suite 4200</w:t>
      </w:r>
    </w:p>
    <w:p>
      <w:pPr>
        <w:pStyle w:val="BodyText"/>
      </w:pPr>
      <w:r>
        <w:t xml:space="preserve">San Francisco, California 94102</w:t>
      </w:r>
    </w:p>
    <w:p>
      <w:pPr>
        <w:pStyle w:val="BodyText"/>
      </w:pPr>
      <w:r>
        <w:t xml:space="preserve">United States</w:t>
      </w:r>
    </w:p>
    <w:p>
      <w:pPr>
        <w:pStyle w:val="BodyText"/>
      </w:pPr>
      <w:r>
        <w:t xml:space="preserve">Tel: (415) 555-0187 | Email: billing@baeag.com</w:t>
      </w:r>
    </w:p>
    <w:p>
      <w:pPr>
        <w:pStyle w:val="BodyText"/>
      </w:pPr>
      <w:r>
        <w:t xml:space="preserve">CA Business License: #18472936</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BAEAG-2025-04871</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Status:</w:t>
      </w:r>
      <w:r>
        <w:t xml:space="preserve"> </w:t>
      </w:r>
      <w:r>
        <w:t xml:space="preserve">PENDING</w:t>
      </w:r>
    </w:p>
    <w:bookmarkEnd w:id="21"/>
    <w:bookmarkStart w:id="22" w:name="billed-to"/>
    <w:p>
      <w:pPr>
        <w:pStyle w:val="Heading3"/>
      </w:pPr>
      <w:r>
        <w:t xml:space="preserve">Billed To</w:t>
      </w:r>
    </w:p>
    <w:p>
      <w:pPr>
        <w:pStyle w:val="FirstParagraph"/>
      </w:pPr>
      <w:r>
        <w:t xml:space="preserve">Dr. Margaret L. Chen, Ph.D.</w:t>
      </w:r>
    </w:p>
    <w:p>
      <w:pPr>
        <w:pStyle w:val="BodyText"/>
      </w:pPr>
      <w:r>
        <w:t xml:space="preserve">Senior Economist, Pacific Trade &amp; Policy Division</w:t>
      </w:r>
    </w:p>
    <w:p>
      <w:pPr>
        <w:pStyle w:val="BodyText"/>
      </w:pPr>
      <w:r>
        <w:t xml:space="preserve">San Francisco Federal Reserve Bank</w:t>
      </w:r>
    </w:p>
    <w:p>
      <w:pPr>
        <w:pStyle w:val="BodyText"/>
      </w:pPr>
      <w:r>
        <w:t xml:space="preserve">101 Market Street, 14th Floor</w:t>
      </w:r>
    </w:p>
    <w:p>
      <w:pPr>
        <w:pStyle w:val="BodyText"/>
      </w:pPr>
      <w:r>
        <w:t xml:space="preserve">San Francisco, California 94105</w:t>
      </w:r>
    </w:p>
    <w:p>
      <w:pPr>
        <w:pStyle w:val="BodyText"/>
      </w:pPr>
      <w:r>
        <w:t xml:space="preserve">United States</w:t>
      </w:r>
    </w:p>
    <w:p>
      <w:pPr>
        <w:pStyle w:val="BodyText"/>
      </w:pPr>
      <w:r>
        <w:t xml:space="preserve">Attn: Accounts Payable Department</w:t>
      </w:r>
    </w:p>
    <w:bookmarkEnd w:id="22"/>
    <w:bookmarkStart w:id="23" w:name="prepared-for"/>
    <w:p>
      <w:pPr>
        <w:pStyle w:val="Heading3"/>
      </w:pPr>
      <w:r>
        <w:t xml:space="preserve">Prepared For</w:t>
      </w:r>
    </w:p>
    <w:p>
      <w:pPr>
        <w:pStyle w:val="FirstParagraph"/>
      </w:pPr>
      <w:r>
        <w:t xml:space="preserve">Economist Consulting Engagement</w:t>
      </w:r>
    </w:p>
    <w:p>
      <w:pPr>
        <w:pStyle w:val="BodyText"/>
      </w:pPr>
      <w:r>
        <w:t xml:space="preserve">Project: Q2 2025 Bay Area Labor Market Analysis</w:t>
      </w:r>
    </w:p>
    <w:p>
      <w:pPr>
        <w:pStyle w:val="BodyText"/>
      </w:pPr>
      <w:r>
        <w:t xml:space="preserve">Contract Reference: SF-EC-2025-0034</w:t>
      </w:r>
    </w:p>
    <w:p>
      <w:pPr>
        <w:pStyle w:val="BodyText"/>
      </w:pPr>
      <w:r>
        <w:t xml:space="preserve">Client Account: #EC-7721-SF</w:t>
      </w:r>
    </w:p>
    <w:p>
      <w:pPr>
        <w:pStyle w:val="BodyText"/>
      </w:pPr>
      <w:r>
        <w:t xml:space="preserve">Service Region: United States San Francisco</w:t>
      </w:r>
    </w:p>
    <w:p>
      <w:pPr>
        <w:pStyle w:val="BodyText"/>
      </w:pPr>
      <w:r>
        <w:t xml:space="preserve">Engagement Period: April 1 – June 10,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 Rendered</w:t>
            </w:r>
          </w:p>
        </w:tc>
        <w:tc>
          <w:tcPr/>
          <w:p>
            <w:pPr>
              <w:pStyle w:val="Compact"/>
              <w:jc w:val="left"/>
            </w:pPr>
            <w:r>
              <w:t xml:space="preserve">Hours</w:t>
            </w:r>
          </w:p>
        </w:tc>
        <w:tc>
          <w:tcPr/>
          <w:p>
            <w:pPr>
              <w:pStyle w:val="Compact"/>
              <w:jc w:val="left"/>
            </w:pPr>
            <w:r>
              <w:t xml:space="preserve">Rate</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Economist-led macroeconomic modeling of San Francisco metropolitan employment trends, including wage compression analysis across technology, finance, and hospitality sectors in the United States San Francisco region.</w:t>
            </w:r>
          </w:p>
        </w:tc>
        <w:tc>
          <w:tcPr/>
          <w:p>
            <w:pPr>
              <w:pStyle w:val="Compact"/>
              <w:jc w:val="left"/>
            </w:pPr>
            <w:r>
              <w:t xml:space="preserve">Apr 1 – Apr 15, 2025</w:t>
            </w:r>
          </w:p>
        </w:tc>
        <w:tc>
          <w:tcPr/>
          <w:p>
            <w:pPr>
              <w:pStyle w:val="Compact"/>
              <w:jc w:val="left"/>
            </w:pPr>
            <w:r>
              <w:t xml:space="preserve">42.0</w:t>
            </w:r>
          </w:p>
        </w:tc>
        <w:tc>
          <w:tcPr/>
          <w:p>
            <w:pPr>
              <w:pStyle w:val="Compact"/>
              <w:jc w:val="left"/>
            </w:pPr>
            <w:r>
              <w:t xml:space="preserve">$285.00</w:t>
            </w:r>
          </w:p>
        </w:tc>
        <w:tc>
          <w:tcPr/>
          <w:p>
            <w:pPr>
              <w:pStyle w:val="Compact"/>
              <w:jc w:val="left"/>
            </w:pPr>
            <w:r>
              <w:t xml:space="preserve">$11,970.00</w:t>
            </w:r>
          </w:p>
        </w:tc>
      </w:tr>
      <w:tr>
        <w:tc>
          <w:tcPr/>
          <w:p>
            <w:pPr>
              <w:pStyle w:val="Compact"/>
              <w:jc w:val="left"/>
            </w:pPr>
            <w:r>
              <w:t xml:space="preserve">2</w:t>
            </w:r>
          </w:p>
        </w:tc>
        <w:tc>
          <w:tcPr/>
          <w:p>
            <w:pPr>
              <w:pStyle w:val="Compact"/>
              <w:jc w:val="left"/>
            </w:pPr>
            <w:r>
              <w:t xml:space="preserve">Preparation of comprehensive fiscal policy brief for the Economist's quarterly review, covering municipal revenue projections, sales tax implications, and commercial property assessments specific to San Francisco, United States.</w:t>
            </w:r>
          </w:p>
        </w:tc>
        <w:tc>
          <w:tcPr/>
          <w:p>
            <w:pPr>
              <w:pStyle w:val="Compact"/>
              <w:jc w:val="left"/>
            </w:pPr>
            <w:r>
              <w:t xml:space="preserve">Apr 16 – May 5, 2025</w:t>
            </w:r>
          </w:p>
        </w:tc>
        <w:tc>
          <w:tcPr/>
          <w:p>
            <w:pPr>
              <w:pStyle w:val="Compact"/>
              <w:jc w:val="left"/>
            </w:pPr>
            <w:r>
              <w:t xml:space="preserve">36.0</w:t>
            </w:r>
          </w:p>
        </w:tc>
        <w:tc>
          <w:tcPr/>
          <w:p>
            <w:pPr>
              <w:pStyle w:val="Compact"/>
              <w:jc w:val="left"/>
            </w:pPr>
            <w:r>
              <w:t xml:space="preserve">$285.00</w:t>
            </w:r>
          </w:p>
        </w:tc>
        <w:tc>
          <w:tcPr/>
          <w:p>
            <w:pPr>
              <w:pStyle w:val="Compact"/>
              <w:jc w:val="left"/>
            </w:pPr>
            <w:r>
              <w:t xml:space="preserve">$10,260.00</w:t>
            </w:r>
          </w:p>
        </w:tc>
      </w:tr>
      <w:tr>
        <w:tc>
          <w:tcPr/>
          <w:p>
            <w:pPr>
              <w:pStyle w:val="Compact"/>
              <w:jc w:val="left"/>
            </w:pPr>
            <w:r>
              <w:t xml:space="preserve">3</w:t>
            </w:r>
          </w:p>
        </w:tc>
        <w:tc>
          <w:tcPr/>
          <w:p>
            <w:pPr>
              <w:pStyle w:val="Compact"/>
              <w:jc w:val="left"/>
            </w:pPr>
            <w:r>
              <w:t xml:space="preserve">On-site data collection and field interviews with 45 local business owners and 12 municipal economists in the United States San Francisco area to validate labor supply elasticity assumptions for the Economist's published research paper.</w:t>
            </w:r>
          </w:p>
        </w:tc>
        <w:tc>
          <w:tcPr/>
          <w:p>
            <w:pPr>
              <w:pStyle w:val="Compact"/>
              <w:jc w:val="left"/>
            </w:pPr>
            <w:r>
              <w:t xml:space="preserve">May 6 – May 22, 2025</w:t>
            </w:r>
          </w:p>
        </w:tc>
        <w:tc>
          <w:tcPr/>
          <w:p>
            <w:pPr>
              <w:pStyle w:val="Compact"/>
              <w:jc w:val="left"/>
            </w:pPr>
            <w:r>
              <w:t xml:space="preserve">58.0</w:t>
            </w:r>
          </w:p>
        </w:tc>
        <w:tc>
          <w:tcPr/>
          <w:p>
            <w:pPr>
              <w:pStyle w:val="Compact"/>
              <w:jc w:val="left"/>
            </w:pPr>
            <w:r>
              <w:t xml:space="preserve">$285.00</w:t>
            </w:r>
          </w:p>
        </w:tc>
        <w:tc>
          <w:tcPr/>
          <w:p>
            <w:pPr>
              <w:pStyle w:val="Compact"/>
              <w:jc w:val="left"/>
            </w:pPr>
            <w:r>
              <w:t xml:space="preserve">$16,530.00</w:t>
            </w:r>
          </w:p>
        </w:tc>
      </w:tr>
      <w:tr>
        <w:tc>
          <w:tcPr/>
          <w:p>
            <w:pPr>
              <w:pStyle w:val="Compact"/>
              <w:jc w:val="left"/>
            </w:pPr>
            <w:r>
              <w:t xml:space="preserve">4</w:t>
            </w:r>
          </w:p>
        </w:tc>
        <w:tc>
          <w:tcPr/>
          <w:p>
            <w:pPr>
              <w:pStyle w:val="Compact"/>
              <w:jc w:val="left"/>
            </w:pPr>
            <w:r>
              <w:t xml:space="preserve">Statistical analysis and econometric regression modeling supporting the Economist's findings on housing affordability indices, rent-to-income ratios, and displacement patterns in San Francisco neighborhoods (SoMa, Mission, Richmond, Sunset).</w:t>
            </w:r>
          </w:p>
        </w:tc>
        <w:tc>
          <w:tcPr/>
          <w:p>
            <w:pPr>
              <w:pStyle w:val="Compact"/>
              <w:jc w:val="left"/>
            </w:pPr>
            <w:r>
              <w:t xml:space="preserve">May 23 – Jun 3, 2025</w:t>
            </w:r>
          </w:p>
        </w:tc>
        <w:tc>
          <w:tcPr/>
          <w:p>
            <w:pPr>
              <w:pStyle w:val="Compact"/>
              <w:jc w:val="left"/>
            </w:pPr>
            <w:r>
              <w:t xml:space="preserve">44.0</w:t>
            </w:r>
          </w:p>
        </w:tc>
        <w:tc>
          <w:tcPr/>
          <w:p>
            <w:pPr>
              <w:pStyle w:val="Compact"/>
              <w:jc w:val="left"/>
            </w:pPr>
            <w:r>
              <w:t xml:space="preserve">$285.00</w:t>
            </w:r>
          </w:p>
        </w:tc>
        <w:tc>
          <w:tcPr/>
          <w:p>
            <w:pPr>
              <w:pStyle w:val="Compact"/>
              <w:jc w:val="left"/>
            </w:pPr>
            <w:r>
              <w:t xml:space="preserve">$12,540.00</w:t>
            </w:r>
          </w:p>
        </w:tc>
      </w:tr>
      <w:tr>
        <w:tc>
          <w:tcPr/>
          <w:p>
            <w:pPr>
              <w:pStyle w:val="Compact"/>
              <w:jc w:val="left"/>
            </w:pPr>
            <w:r>
              <w:t xml:space="preserve">5</w:t>
            </w:r>
          </w:p>
        </w:tc>
        <w:tc>
          <w:tcPr/>
          <w:p>
            <w:pPr>
              <w:pStyle w:val="Compact"/>
              <w:jc w:val="left"/>
            </w:pPr>
            <w:r>
              <w:t xml:space="preserve">Final report compilation, peer review coordination, and presentation of findings to the Economist and the San Francisco Economic Development Agency board. Includes three (3) revision cycles and formatting to United States Federal Reserve publication standards.</w:t>
            </w:r>
          </w:p>
        </w:tc>
        <w:tc>
          <w:tcPr/>
          <w:p>
            <w:pPr>
              <w:pStyle w:val="Compact"/>
              <w:jc w:val="left"/>
            </w:pPr>
            <w:r>
              <w:t xml:space="preserve">Jun 4 – Jun 10, 2025</w:t>
            </w:r>
          </w:p>
        </w:tc>
        <w:tc>
          <w:tcPr/>
          <w:p>
            <w:pPr>
              <w:pStyle w:val="Compact"/>
              <w:jc w:val="left"/>
            </w:pPr>
            <w:r>
              <w:t xml:space="preserve">28.0</w:t>
            </w:r>
          </w:p>
        </w:tc>
        <w:tc>
          <w:tcPr/>
          <w:p>
            <w:pPr>
              <w:pStyle w:val="Compact"/>
              <w:jc w:val="left"/>
            </w:pPr>
            <w:r>
              <w:t xml:space="preserve">$285.00</w:t>
            </w:r>
          </w:p>
        </w:tc>
        <w:tc>
          <w:tcPr/>
          <w:p>
            <w:pPr>
              <w:pStyle w:val="Compact"/>
              <w:jc w:val="left"/>
            </w:pPr>
            <w:r>
              <w:t xml:space="preserve">$7,980.00</w:t>
            </w:r>
          </w:p>
        </w:tc>
      </w:tr>
      <w:tr>
        <w:tc>
          <w:tcPr/>
          <w:p>
            <w:pPr>
              <w:pStyle w:val="Compact"/>
              <w:jc w:val="left"/>
            </w:pPr>
            <w:r>
              <w:t xml:space="preserve">6</w:t>
            </w:r>
          </w:p>
        </w:tc>
        <w:tc>
          <w:tcPr/>
          <w:p>
            <w:pPr>
              <w:pStyle w:val="Compact"/>
              <w:jc w:val="left"/>
            </w:pPr>
            <w:r>
              <w:t xml:space="preserve">Travel and per diem expenses incurred during on-site research in the United States San Francisco area, including transit, lodging (2 nights), and meal allowances as per the Economist's approved travel policy.</w:t>
            </w:r>
          </w:p>
        </w:tc>
        <w:tc>
          <w:tcPr/>
          <w:p>
            <w:pPr>
              <w:pStyle w:val="Compact"/>
              <w:jc w:val="left"/>
            </w:pPr>
            <w:r>
              <w:t xml:space="preserve">May 8 – May 20, 2025</w:t>
            </w:r>
          </w:p>
        </w:tc>
        <w:tc>
          <w:tcPr/>
          <w:p>
            <w:pPr>
              <w:pStyle w:val="Compact"/>
              <w:jc w:val="left"/>
            </w:pPr>
            <w:r>
              <w:t xml:space="preserve">—</w:t>
            </w:r>
          </w:p>
        </w:tc>
        <w:tc>
          <w:tcPr/>
          <w:p>
            <w:pPr>
              <w:pStyle w:val="Compact"/>
              <w:jc w:val="left"/>
            </w:pPr>
            <w:r>
              <w:t xml:space="preserve">—</w:t>
            </w:r>
          </w:p>
        </w:tc>
        <w:tc>
          <w:tcPr/>
          <w:p>
            <w:pPr>
              <w:pStyle w:val="Compact"/>
              <w:jc w:val="left"/>
            </w:pPr>
            <w:r>
              <w:t xml:space="preserve">$2,340.00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$61,620.00</w:t>
            </w:r>
          </w:p>
        </w:tc>
      </w:tr>
      <w:tr>
        <w:tc>
          <w:tcPr/>
          <w:p>
            <w:pPr>
              <w:pStyle w:val="Compact"/>
              <w:jc w:val="left"/>
            </w:pPr>
            <w:r>
              <w:t xml:space="preserve">California State Sales Tax (8.5%)</w:t>
            </w:r>
          </w:p>
        </w:tc>
        <w:tc>
          <w:tcPr/>
          <w:p>
            <w:pPr>
              <w:pStyle w:val="Compact"/>
              <w:jc w:val="left"/>
            </w:pPr>
            <w:r>
              <w:t xml:space="preserve">$5,237.70</w:t>
            </w:r>
          </w:p>
        </w:tc>
      </w:tr>
      <w:tr>
        <w:tc>
          <w:tcPr/>
          <w:p>
            <w:pPr>
              <w:pStyle w:val="Compact"/>
              <w:jc w:val="left"/>
            </w:pPr>
            <w:r>
              <w:t xml:space="preserve">San Francisco City &amp; County Tax (1.5%)</w:t>
            </w:r>
          </w:p>
        </w:tc>
        <w:tc>
          <w:tcPr/>
          <w:p>
            <w:pPr>
              <w:pStyle w:val="Compact"/>
              <w:jc w:val="left"/>
            </w:pPr>
            <w:r>
              <w:t xml:space="preserve">$924.30</w:t>
            </w:r>
          </w:p>
        </w:tc>
      </w:tr>
      <w:tr>
        <w:tc>
          <w:tcPr/>
          <w:p>
            <w:pPr>
              <w:pStyle w:val="Compact"/>
              <w:jc w:val="left"/>
            </w:pPr>
            <w:r>
              <w:t xml:space="preserve">Applicable Discounts (Early Payment 2%)</w:t>
            </w:r>
          </w:p>
        </w:tc>
        <w:tc>
          <w:tcPr/>
          <w:p>
            <w:pPr>
              <w:pStyle w:val="Compact"/>
              <w:jc w:val="left"/>
            </w:pPr>
            <w:r>
              <w:t xml:space="preserve">($1,232.40)</w:t>
            </w:r>
          </w:p>
        </w:tc>
      </w:tr>
      <w:tr>
        <w:tc>
          <w:tcPr/>
          <w:p>
            <w:pPr>
              <w:pStyle w:val="Compact"/>
              <w:jc w:val="left"/>
            </w:pPr>
            <w:r>
              <w:t xml:space="preserve">Grand Total Due</w:t>
            </w:r>
          </w:p>
        </w:tc>
        <w:tc>
          <w:tcPr/>
          <w:p>
            <w:pPr>
              <w:pStyle w:val="Compact"/>
              <w:jc w:val="left"/>
            </w:pPr>
            <w:r>
              <w:t xml:space="preserve">$66,549.60</w:t>
            </w:r>
          </w:p>
        </w:tc>
      </w:tr>
    </w:tbl>
    <w:bookmarkStart w:id="24" w:name="invoice-notes-terms"/>
    <w:p>
      <w:pPr>
        <w:pStyle w:val="Heading3"/>
      </w:pPr>
      <w:r>
        <w:t xml:space="preserve">Invoice Notes &amp; Terms</w:t>
      </w:r>
    </w:p>
    <w:p>
      <w:pPr>
        <w:pStyle w:val="FirstParagraph"/>
      </w:pPr>
      <w:r>
        <w:t xml:space="preserve">This Invoice is issued in accordance with the professional services agreement (Contract SF-EC-2025-0034) between Bay Area Economic Advisory Group and the designated Economist, Dr. Margaret L. Chen, for the delivery of specialized economic research and analytical services conducted within the United States San Francisco metropolitan area.</w:t>
      </w:r>
    </w:p>
    <w:p>
      <w:pPr>
        <w:pStyle w:val="BodyText"/>
      </w:pPr>
      <w:r>
        <w:t xml:space="preserve">All services described in this Invoice were performed by credentialed economists and data analysts under the direct supervision of the lead Economist. The work product, including all models, datasets, and written reports, remains the intellectual property of the client as stipulated in Section 7.2 of the master agreement.</w:t>
      </w:r>
    </w:p>
    <w:p>
      <w:pPr>
        <w:pStyle w:val="BodyText"/>
      </w:pPr>
      <w:r>
        <w:t xml:space="preserve">Payment is due within thirty (30) calendar days of the Invoice date. Late payments will accrue interest at a rate of 1.5% per month, in compliance with California Commercial Code Section 2210.2. Please reference Invoice Number BAEAG-2025-04871 on all correspondence and remittances.</w:t>
      </w:r>
    </w:p>
    <w:p>
      <w:pPr>
        <w:pStyle w:val="BodyText"/>
      </w:pPr>
      <w:r>
        <w:t xml:space="preserve">This Invoice is subject to the general terms and conditions of Bay Area Economic Advisory Group, a registered business entity operating in San Francisco, California, United States. All disputes arising from this Invoice shall be governed by the laws of the State of California and adjudicated in the Superior Court of San Francisco County.</w:t>
      </w:r>
    </w:p>
    <w:bookmarkEnd w:id="24"/>
    <w:bookmarkStart w:id="25" w:name="payment-instructions"/>
    <w:p>
      <w:pPr>
        <w:pStyle w:val="Heading3"/>
      </w:pPr>
      <w:r>
        <w:t xml:space="preserve">Payment Instructions</w:t>
      </w:r>
    </w:p>
    <w:p>
      <w:pPr>
        <w:pStyle w:val="FirstParagraph"/>
      </w:pPr>
      <w:r>
        <w:rPr>
          <w:bCs/>
          <w:b/>
        </w:rPr>
        <w:t xml:space="preserve">Method 1 – Wire Transfer:</w:t>
      </w:r>
      <w:r>
        <w:t xml:space="preserve"> </w:t>
      </w:r>
      <w:r>
        <w:t xml:space="preserve">Bank: First Republic Bank, San Francisco, CA | Routing: 121000358 | Account: 4472-8891-003 | SWIFT: FRBKUS33</w:t>
      </w:r>
    </w:p>
    <w:p>
      <w:pPr>
        <w:pStyle w:val="BodyText"/>
      </w:pPr>
      <w:r>
        <w:rPr>
          <w:bCs/>
          <w:b/>
        </w:rPr>
        <w:t xml:space="preserve">Method 2 – ACH/EFT:</w:t>
      </w:r>
      <w:r>
        <w:t xml:space="preserve"> </w:t>
      </w:r>
      <w:r>
        <w:t xml:space="preserve">Same routing and account numbers. Please allow 3–5 business days for processing.</w:t>
      </w:r>
    </w:p>
    <w:p>
      <w:pPr>
        <w:pStyle w:val="BodyText"/>
      </w:pPr>
      <w:r>
        <w:rPr>
          <w:bCs/>
          <w:b/>
        </w:rPr>
        <w:t xml:space="preserve">Method 3 – Check:</w:t>
      </w:r>
      <w:r>
        <w:t xml:space="preserve"> </w:t>
      </w:r>
      <w:r>
        <w:t xml:space="preserve">Make payable to "Bay Area Economic Advisory Group" and mail to 1250 Market Street, Suite 4200, San Francisco, CA 94102, United States.</w:t>
      </w:r>
    </w:p>
    <w:p>
      <w:pPr>
        <w:pStyle w:val="BodyText"/>
      </w:pPr>
      <w:r>
        <w:rPr>
          <w:bCs/>
          <w:b/>
        </w:rPr>
        <w:t xml:space="preserve">Method 4 – Corporate Purchase Order:</w:t>
      </w:r>
      <w:r>
        <w:t xml:space="preserve"> </w:t>
      </w:r>
      <w:r>
        <w:t xml:space="preserve">If payment is via PO, please reference PO number on your remittance. Our accounts payable team in San Francisco will reconcile within two business days.</w:t>
      </w:r>
    </w:p>
    <w:bookmarkEnd w:id="25"/>
    <w:p>
      <w:pPr>
        <w:pStyle w:val="BodyText"/>
      </w:pPr>
      <w:r>
        <w:rPr>
          <w:bCs/>
          <w:b/>
        </w:rPr>
        <w:t xml:space="preserve">Bay Area Economic Advisory Group</w:t>
      </w:r>
      <w:r>
        <w:t xml:space="preserve"> </w:t>
      </w:r>
      <w:r>
        <w:t xml:space="preserve">| 1250 Market Street, Suite 4200, San Francisco, CA 94102, United States</w:t>
      </w:r>
    </w:p>
    <w:p>
      <w:pPr>
        <w:pStyle w:val="BodyText"/>
      </w:pPr>
      <w:r>
        <w:t xml:space="preserve">CA Business License #18472936 | FEIN: 94-2847103 | CA Sales Tax Permit: CDTFA-8829104</w:t>
      </w:r>
    </w:p>
    <w:p>
      <w:pPr>
        <w:pStyle w:val="BodyText"/>
      </w:pPr>
      <w:r>
        <w:t xml:space="preserve">This Invoice was generated electronically on June 12, 2025. No physical signature is required. This document constitutes a valid billing instrument under California law.</w:t>
      </w:r>
    </w:p>
    <w:p>
      <w:pPr>
        <w:pStyle w:val="BodyText"/>
      </w:pPr>
      <w:r>
        <w:t xml:space="preserve">For questions regarding this Invoice, contact our billing department at billing@baeag.com or (415) 555-0187, Monday through Friday, 8:00 AM – 6:00 PM Pacific Time.</w:t>
      </w:r>
    </w:p>
    <w:p>
      <w:pPr>
        <w:pStyle w:val="BodyText"/>
      </w:pPr>
      <w:r>
        <w:t xml:space="preserve">Thank you for your business. We appreciate the opportunity to support the Economist's vital research contributions to the economic understanding of the United States San Francisco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Economist Consulting Services - United States San Francisco</dc:title>
  <dc:creator/>
  <dc:language>en</dc:language>
  <cp:keywords/>
  <dcterms:created xsi:type="dcterms:W3CDTF">2026-10-10T08:10:17Z</dcterms:created>
  <dcterms:modified xsi:type="dcterms:W3CDTF">2026-10-10T08:10:17Z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