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editorial-studio-gmbh"/>
    <w:p>
      <w:pPr>
        <w:pStyle w:val="Heading1"/>
      </w:pPr>
      <w:r>
        <w:t xml:space="preserve">Berlin Editorial Studio GmbH</w:t>
      </w:r>
    </w:p>
    <w:p>
      <w:pPr>
        <w:pStyle w:val="FirstParagraph"/>
      </w:pPr>
      <w:r>
        <w:t xml:space="preserve">Editor &amp; Content Services</w:t>
      </w:r>
    </w:p>
    <w:p>
      <w:pPr>
        <w:pStyle w:val="BodyText"/>
      </w:pPr>
      <w:r>
        <w:t xml:space="preserve">Unter den Linden 42, 10117 Berlin, Germany</w:t>
      </w:r>
    </w:p>
    <w:p>
      <w:pPr>
        <w:pStyle w:val="BodyText"/>
      </w:pPr>
      <w:r>
        <w:t xml:space="preserve">USt-IdNr.: DE 312 456 789</w:t>
      </w:r>
    </w:p>
    <w:p>
      <w:pPr>
        <w:pStyle w:val="BodyText"/>
      </w:pPr>
      <w:r>
        <w:t xml:space="preserve">HRB 123456 B, Amtsgericht Charlottenburg</w:t>
      </w:r>
    </w:p>
    <w:p>
      <w:pPr>
        <w:pStyle w:val="BodyText"/>
      </w:pPr>
      <w:r>
        <w:t xml:space="preserve">Phone: +49 30 1234 5678 | Email: billing@berlineditorial.de</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MediaHaus Publishing AG</w:t>
      </w:r>
    </w:p>
    <w:p>
      <w:pPr>
        <w:pStyle w:val="BodyText"/>
      </w:pPr>
      <w:r>
        <w:t xml:space="preserve">Attn: Dr. Katharina Weber, Procurement Director</w:t>
      </w:r>
    </w:p>
    <w:p>
      <w:pPr>
        <w:pStyle w:val="BodyText"/>
      </w:pPr>
      <w:r>
        <w:t xml:space="preserve">Frankfurter Allee 115, 10247 Berlin, Germany</w:t>
      </w:r>
    </w:p>
    <w:p>
      <w:pPr>
        <w:pStyle w:val="BodyText"/>
      </w:pPr>
      <w:r>
        <w:t xml:space="preserve">VAT ID: DE 298 765 432</w:t>
      </w:r>
    </w:p>
    <w:p>
      <w:pPr>
        <w:pStyle w:val="BodyText"/>
      </w:pPr>
      <w:r>
        <w:t xml:space="preserve">Reference: PO-2025-0091</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Professional Editor Services</w:t>
      </w:r>
    </w:p>
    <w:p>
      <w:pPr>
        <w:pStyle w:val="BodyText"/>
      </w:pPr>
      <w:r>
        <w:rPr>
          <w:bCs/>
          <w:b/>
        </w:rPr>
        <w:t xml:space="preserve">Project:</w:t>
      </w:r>
      <w:r>
        <w:t xml:space="preserve"> </w:t>
      </w:r>
      <w:r>
        <w:t xml:space="preserve">Q3 2025 Editorial Overhaul</w:t>
      </w:r>
    </w:p>
    <w:p>
      <w:pPr>
        <w:pStyle w:val="BodyText"/>
      </w:pPr>
      <w:r>
        <w:rPr>
          <w:bCs/>
          <w:b/>
        </w:rPr>
        <w:t xml:space="preserve">Contract Ref:</w:t>
      </w:r>
      <w:r>
        <w:t xml:space="preserve"> </w:t>
      </w:r>
      <w:r>
        <w:t xml:space="preserve">EDS-BER-2025-0034</w:t>
      </w:r>
    </w:p>
    <w:p>
      <w:pPr>
        <w:pStyle w:val="BodyText"/>
      </w:pPr>
      <w:r>
        <w:rPr>
          <w:bCs/>
          <w:b/>
        </w:rPr>
        <w:t xml:space="preserve">Payment Method:</w:t>
      </w:r>
      <w:r>
        <w:t xml:space="preserve"> </w:t>
      </w:r>
      <w:r>
        <w:t xml:space="preserve">Bank Transfer (SEPA)</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Editor – Manuscript Review &amp; Structural Editing for the "German Cultural Heritage" anthology. Includes line-by-line proofreading, stylistic consistency checks, and editorial annotations delivered via the Berlin office collaboration platform.</w:t>
            </w:r>
          </w:p>
        </w:tc>
        <w:tc>
          <w:tcPr/>
          <w:p>
            <w:pPr>
              <w:pStyle w:val="Compact"/>
              <w:jc w:val="left"/>
            </w:pPr>
            <w:r>
              <w:t xml:space="preserve">01 Jun – 15 Jun 2025</w:t>
            </w:r>
          </w:p>
        </w:tc>
        <w:tc>
          <w:tcPr/>
          <w:p>
            <w:pPr>
              <w:pStyle w:val="Compact"/>
              <w:jc w:val="left"/>
            </w:pPr>
            <w:r>
              <w:t xml:space="preserve">€95.00</w:t>
            </w:r>
          </w:p>
        </w:tc>
        <w:tc>
          <w:tcPr/>
          <w:p>
            <w:pPr>
              <w:pStyle w:val="Compact"/>
              <w:jc w:val="left"/>
            </w:pPr>
            <w:r>
              <w:t xml:space="preserve">48</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Technical Editor – Formatting, typesetting, and layout compliance for the 320-page bilingual (German/English) publication. Ensures adherence to DIN 5008 typographic standards and the client's brand style guide as specified in the Germany Berlin editorial protocol.</w:t>
            </w:r>
          </w:p>
        </w:tc>
        <w:tc>
          <w:tcPr/>
          <w:p>
            <w:pPr>
              <w:pStyle w:val="Compact"/>
              <w:jc w:val="left"/>
            </w:pPr>
            <w:r>
              <w:t xml:space="preserve">01 Jun – 15 Jun 2025</w:t>
            </w:r>
          </w:p>
        </w:tc>
        <w:tc>
          <w:tcPr/>
          <w:p>
            <w:pPr>
              <w:pStyle w:val="Compact"/>
              <w:jc w:val="left"/>
            </w:pPr>
            <w:r>
              <w:t xml:space="preserve">€85.00</w:t>
            </w:r>
          </w:p>
        </w:tc>
        <w:tc>
          <w:tcPr/>
          <w:p>
            <w:pPr>
              <w:pStyle w:val="Compact"/>
              <w:jc w:val="left"/>
            </w:pPr>
            <w:r>
              <w:t xml:space="preserve">36</w:t>
            </w:r>
          </w:p>
        </w:tc>
        <w:tc>
          <w:tcPr/>
          <w:p>
            <w:pPr>
              <w:pStyle w:val="Compact"/>
              <w:jc w:val="left"/>
            </w:pPr>
            <w:r>
              <w:t xml:space="preserve">€3,060.00</w:t>
            </w:r>
          </w:p>
        </w:tc>
      </w:tr>
      <w:tr>
        <w:tc>
          <w:tcPr/>
          <w:p>
            <w:pPr>
              <w:pStyle w:val="Compact"/>
              <w:jc w:val="left"/>
            </w:pPr>
            <w:r>
              <w:t xml:space="preserve">3</w:t>
            </w:r>
          </w:p>
        </w:tc>
        <w:tc>
          <w:tcPr/>
          <w:p>
            <w:pPr>
              <w:pStyle w:val="Compact"/>
              <w:jc w:val="left"/>
            </w:pPr>
            <w:r>
              <w:t xml:space="preserve">Copy Editor – Final proofreading pass, fact-checking, and reference verification for all 47 chapters. Includes cross-referencing with the Berlin State Library (Staatsbibliothek zu Berlin) digital archives for historical accuracy.</w:t>
            </w:r>
          </w:p>
        </w:tc>
        <w:tc>
          <w:tcPr/>
          <w:p>
            <w:pPr>
              <w:pStyle w:val="Compact"/>
              <w:jc w:val="left"/>
            </w:pPr>
            <w:r>
              <w:t xml:space="preserve">10 Jun – 15 Jun 2025</w:t>
            </w:r>
          </w:p>
        </w:tc>
        <w:tc>
          <w:tcPr/>
          <w:p>
            <w:pPr>
              <w:pStyle w:val="Compact"/>
              <w:jc w:val="left"/>
            </w:pPr>
            <w:r>
              <w:t xml:space="preserve">€78.00</w:t>
            </w:r>
          </w:p>
        </w:tc>
        <w:tc>
          <w:tcPr/>
          <w:p>
            <w:pPr>
              <w:pStyle w:val="Compact"/>
              <w:jc w:val="left"/>
            </w:pPr>
            <w:r>
              <w:t xml:space="preserve">24</w:t>
            </w:r>
          </w:p>
        </w:tc>
        <w:tc>
          <w:tcPr/>
          <w:p>
            <w:pPr>
              <w:pStyle w:val="Compact"/>
              <w:jc w:val="left"/>
            </w:pPr>
            <w:r>
              <w:t xml:space="preserve">€1,872.00</w:t>
            </w:r>
          </w:p>
        </w:tc>
      </w:tr>
      <w:tr>
        <w:tc>
          <w:tcPr/>
          <w:p>
            <w:pPr>
              <w:pStyle w:val="Compact"/>
              <w:jc w:val="left"/>
            </w:pPr>
            <w:r>
              <w:t xml:space="preserve">4</w:t>
            </w:r>
          </w:p>
        </w:tc>
        <w:tc>
          <w:tcPr/>
          <w:p>
            <w:pPr>
              <w:pStyle w:val="Compact"/>
              <w:jc w:val="left"/>
            </w:pPr>
            <w:r>
              <w:t xml:space="preserve">Editorial Project Management – Coordination of the four-person Editor team, scheduling of review cycles, client communication, and delivery of the final edited manuscript package. All project milestones tracked per the Germany Berlin project governance framework.</w:t>
            </w:r>
          </w:p>
        </w:tc>
        <w:tc>
          <w:tcPr/>
          <w:p>
            <w:pPr>
              <w:pStyle w:val="Compact"/>
              <w:jc w:val="left"/>
            </w:pPr>
            <w:r>
              <w:t xml:space="preserve">01 Jun – 15 Jun 2025</w:t>
            </w:r>
          </w:p>
        </w:tc>
        <w:tc>
          <w:tcPr/>
          <w:p>
            <w:pPr>
              <w:pStyle w:val="Compact"/>
              <w:jc w:val="left"/>
            </w:pPr>
            <w:r>
              <w:t xml:space="preserve">€110.00</w:t>
            </w:r>
          </w:p>
        </w:tc>
        <w:tc>
          <w:tcPr/>
          <w:p>
            <w:pPr>
              <w:pStyle w:val="Compact"/>
              <w:jc w:val="left"/>
            </w:pPr>
            <w:r>
              <w:t xml:space="preserve">20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Translation Editor – Linguistic quality assurance for the English translation of the German original text. Ensures idiomatic accuracy, cultural sensitivity, and terminological consistency across all translated sections.</w:t>
            </w:r>
          </w:p>
        </w:tc>
        <w:tc>
          <w:tcPr/>
          <w:p>
            <w:pPr>
              <w:pStyle w:val="Compact"/>
              <w:jc w:val="left"/>
            </w:pPr>
            <w:r>
              <w:t xml:space="preserve">05 Jun – 15 Jun 2025</w:t>
            </w:r>
          </w:p>
        </w:tc>
        <w:tc>
          <w:tcPr/>
          <w:p>
            <w:pPr>
              <w:pStyle w:val="Compact"/>
              <w:jc w:val="left"/>
            </w:pPr>
            <w:r>
              <w:t xml:space="preserve">€92.00</w:t>
            </w:r>
          </w:p>
        </w:tc>
        <w:tc>
          <w:tcPr/>
          <w:p>
            <w:pPr>
              <w:pStyle w:val="Compact"/>
              <w:jc w:val="left"/>
            </w:pPr>
            <w:r>
              <w:t xml:space="preserve">16</w:t>
            </w:r>
          </w:p>
        </w:tc>
        <w:tc>
          <w:tcPr/>
          <w:p>
            <w:pPr>
              <w:pStyle w:val="Compact"/>
              <w:jc w:val="left"/>
            </w:pPr>
            <w:r>
              <w:t xml:space="preserve">€1,472.00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€13,164.00</w:t>
            </w:r>
          </w:p>
        </w:tc>
      </w:tr>
      <w:tr>
        <w:tc>
          <w:tcPr/>
          <w:p>
            <w:pPr>
              <w:pStyle w:val="Compact"/>
              <w:jc w:val="left"/>
            </w:pPr>
            <w:r>
              <w:t xml:space="preserve">VAT (19% – USt)</w:t>
            </w:r>
          </w:p>
        </w:tc>
        <w:tc>
          <w:tcPr/>
          <w:p>
            <w:pPr>
              <w:pStyle w:val="Compact"/>
              <w:jc w:val="left"/>
            </w:pPr>
            <w:r>
              <w:t xml:space="preserve">€2,501.16</w:t>
            </w:r>
          </w:p>
        </w:tc>
      </w:tr>
      <w:tr>
        <w:tc>
          <w:tcPr/>
          <w:p>
            <w:pPr>
              <w:pStyle w:val="Compact"/>
              <w:jc w:val="left"/>
            </w:pPr>
            <w:r>
              <w:t xml:space="preserve">Total Amount Due</w:t>
            </w:r>
          </w:p>
        </w:tc>
        <w:tc>
          <w:tcPr/>
          <w:p>
            <w:pPr>
              <w:pStyle w:val="Compact"/>
              <w:jc w:val="left"/>
            </w:pPr>
            <w:r>
              <w:t xml:space="preserve">€15,665.16</w:t>
            </w:r>
          </w:p>
        </w:tc>
      </w:tr>
    </w:tbl>
    <w:bookmarkStart w:id="24" w:name="invoice-notes-payment-terms"/>
    <w:p>
      <w:pPr>
        <w:pStyle w:val="Heading3"/>
      </w:pPr>
      <w:r>
        <w:t xml:space="preserve">Invoice Notes &amp; Payment Terms</w:t>
      </w:r>
    </w:p>
    <w:p>
      <w:pPr>
        <w:pStyle w:val="FirstParagraph"/>
      </w:pPr>
      <w:r>
        <w:rPr>
          <w:bCs/>
          <w:b/>
        </w:rPr>
        <w:t xml:space="preserve">Payment Due:</w:t>
      </w:r>
      <w:r>
        <w:t xml:space="preserve"> </w:t>
      </w:r>
      <w:r>
        <w:t xml:space="preserve">This Invoice must be settled in full within 30 calendar days of the issue date (15 July 2025) via SEPA bank transfer to the account details listed above. Please reference Invoice number INV-2025-0487 in your payment remittance.</w:t>
      </w:r>
    </w:p>
    <w:p>
      <w:pPr>
        <w:pStyle w:val="BodyText"/>
      </w:pPr>
      <w:r>
        <w:rPr>
          <w:bCs/>
          <w:b/>
        </w:rPr>
        <w:t xml:space="preserve">Late Payment:</w:t>
      </w:r>
      <w:r>
        <w:t xml:space="preserve"> </w:t>
      </w:r>
      <w:r>
        <w:t xml:space="preserve">In accordance with German commercial law (BGB § 288), a default interest of 5 percentage points above the European Central Bank base rate will be applied to any outstanding balance after the due date. This applies to all B2B transactions conducted within Germany Berlin and the broader German federal territory.</w:t>
      </w:r>
    </w:p>
    <w:p>
      <w:pPr>
        <w:pStyle w:val="BodyText"/>
      </w:pPr>
      <w:r>
        <w:rPr>
          <w:bCs/>
          <w:b/>
        </w:rPr>
        <w:t xml:space="preserve">Editor Service Guarantee:</w:t>
      </w:r>
      <w:r>
        <w:t xml:space="preserve"> </w:t>
      </w:r>
      <w:r>
        <w:t xml:space="preserve">All Editor services rendered under this Invoice are covered by our 14-day quality assurance window. Should any editorial errors be identified within 14 days of manuscript delivery, our Editor team will re-review the affected sections at no additional cost.</w:t>
      </w:r>
    </w:p>
    <w:p>
      <w:pPr>
        <w:pStyle w:val="BodyText"/>
      </w:pPr>
      <w:r>
        <w:rPr>
          <w:bCs/>
          <w:b/>
        </w:rPr>
        <w:t xml:space="preserve">Dispute Resolution:</w:t>
      </w:r>
      <w:r>
        <w:t xml:space="preserve"> </w:t>
      </w:r>
      <w:r>
        <w:t xml:space="preserve">Any disputes arising from this Invoice or the associated Editor services shall be governed by the laws of the Federal Republic of Germany. The exclusive jurisdiction for all legal proceedings is the local court (Amtsgericht) in Berlin, Germany. Both parties agree to attempt mediation before initiating formal litigation.</w:t>
      </w:r>
    </w:p>
    <w:p>
      <w:pPr>
        <w:pStyle w:val="BodyText"/>
      </w:pPr>
      <w:r>
        <w:rPr>
          <w:bCs/>
          <w:b/>
        </w:rPr>
        <w:t xml:space="preserve">Confidentiality:</w:t>
      </w:r>
      <w:r>
        <w:t xml:space="preserve"> </w:t>
      </w:r>
      <w:r>
        <w:t xml:space="preserve">All materials, manuscripts, and editorial notes exchanged in connection with this Invoice remain the exclusive intellectual property of MediaHaus Publishing AG. Berlin Editorial Studio GmbH and its Editor staff are bound by a strict non-disclosure agreement (NDA) for the duration of the engagement plus five years.</w:t>
      </w:r>
    </w:p>
    <w:bookmarkEnd w:id="24"/>
    <w:p>
      <w:pPr>
        <w:pStyle w:val="BodyText"/>
      </w:pPr>
      <w:r>
        <w:rPr>
          <w:bCs/>
          <w:b/>
        </w:rPr>
        <w:t xml:space="preserve">Legal Notice:</w:t>
      </w:r>
      <w:r>
        <w:t xml:space="preserve"> </w:t>
      </w:r>
      <w:r>
        <w:t xml:space="preserve">Berlin Editorial Studio GmbH is a limited liability company (Gesellschaft mit beschränkter Haftung) registered in Berlin, Germany. Managing Director: Prof. Dr. Markus Steinbach. The company is registered with the Commercial Register (Handelsregister) of the Amtsgericht Charlottenburg under file number HRB 123456 B.</w:t>
      </w:r>
    </w:p>
    <w:p>
      <w:pPr>
        <w:pStyle w:val="BodyText"/>
      </w:pPr>
      <w:r>
        <w:rPr>
          <w:bCs/>
          <w:b/>
        </w:rPr>
        <w:t xml:space="preserve">VAT Information:</w:t>
      </w:r>
      <w:r>
        <w:t xml:space="preserve"> </w:t>
      </w:r>
      <w:r>
        <w:t xml:space="preserve">This Invoice is issued in accordance with the German Value Added Tax Act (Umsatzsteuergesetz – UStG). The 19% VAT rate applied is the standard rate for services rendered within Germany. As both the service provider and the recipient are registered VAT entities within Germany Berlin, the reverse charge mechanism does not apply to this transaction.</w:t>
      </w:r>
    </w:p>
    <w:p>
      <w:pPr>
        <w:pStyle w:val="BodyText"/>
      </w:pPr>
      <w:r>
        <w:rPr>
          <w:bCs/>
          <w:b/>
        </w:rPr>
        <w:t xml:space="preserve">Data Protection:</w:t>
      </w:r>
      <w:r>
        <w:t xml:space="preserve"> </w:t>
      </w:r>
      <w:r>
        <w:t xml:space="preserve">In compliance with the General Data Protection Regulation (GDPR / DSGVO) and the German Federal Data Protection Act (BDSG), personal data contained in this Invoice is processed solely for the purpose of billing and tax compliance. Data retention follows the statutory retention period of 10 years as mandated by the German Commercial Code (HGB § 257) and the Tax Code (AO § 147).</w:t>
      </w:r>
    </w:p>
    <w:p>
      <w:pPr>
        <w:pStyle w:val="BodyText"/>
      </w:pPr>
      <w:r>
        <w:rPr>
          <w:bCs/>
          <w:b/>
        </w:rPr>
        <w:t xml:space="preserve">Editorial Standards:</w:t>
      </w:r>
      <w:r>
        <w:t xml:space="preserve"> </w:t>
      </w:r>
      <w:r>
        <w:t xml:space="preserve">All Editor services provided under this Invoice conform to the editorial guidelines established by the German Publishers and Booksellers Association (Börsenverein des Deutschen Buchhandels) and the ISO 21451 standards for natural language processing where applicable to automated editorial tools.</w:t>
      </w:r>
    </w:p>
    <w:p>
      <w:pPr>
        <w:pStyle w:val="BodyText"/>
      </w:pPr>
      <w:r>
        <w:t xml:space="preserve">Thank you for your business. This Invoice was generated electronically by Berlin Editorial Studio GmbH, Germany Berlin, and constitutes a valid tax document under German law. No physical signature is required for electronic invoices issued in accordance with § 146a of the German Tax Code (Abgabenordnung).</w:t>
      </w:r>
    </w:p>
    <w:p>
      <w:pPr>
        <w:pStyle w:val="BodyText"/>
      </w:pPr>
      <w:r>
        <w:t xml:space="preserve">© 2025 Berlin Editorial Studio GmbH – All rights reserved. | Invoice INV-2025-0487 |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Germany Berlin</dc:title>
  <dc:creator/>
  <dc:language>en</dc:language>
  <cp:keywords/>
  <dcterms:created xsi:type="dcterms:W3CDTF">2026-10-10T06:14:58Z</dcterms:created>
  <dcterms:modified xsi:type="dcterms:W3CDTF">2026-10-10T06:14:58Z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