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Editorial</w:t>
      </w:r>
      <w:r>
        <w:t xml:space="preserve"> </w:t>
      </w:r>
      <w:r>
        <w:t xml:space="preserve">Services</w:t>
      </w:r>
      <w:r>
        <w:t xml:space="preserve"> </w:t>
      </w:r>
      <w:r>
        <w:t xml:space="preserve">-</w:t>
      </w:r>
      <w:r>
        <w:t xml:space="preserve"> </w:t>
      </w:r>
      <w:r>
        <w:t xml:space="preserve">Tehran,</w:t>
      </w:r>
      <w:r>
        <w:t xml:space="preserve"> </w:t>
      </w:r>
      <w:r>
        <w:t xml:space="preserve">Iran</w:t>
      </w:r>
    </w:p>
    <w:p>
      <w:pPr>
        <w:pStyle w:val="FirstParagraph"/>
      </w:pPr>
      <w:r>
        <w:t xml:space="preserve">INVOICE</w:t>
      </w:r>
    </w:p>
    <w:p>
      <w:pPr>
        <w:pStyle w:val="BodyText"/>
      </w:pPr>
      <w:r>
        <w:t xml:space="preserve">Professional Editorial &amp; Content Services</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INV-TEH-2025-04871</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End w:id="20"/>
    <w:bookmarkStart w:id="21" w:name="service-provider-editor"/>
    <w:p>
      <w:pPr>
        <w:pStyle w:val="Heading4"/>
      </w:pPr>
      <w:r>
        <w:t xml:space="preserve">Service Provider (Editor)</w:t>
      </w:r>
    </w:p>
    <w:p>
      <w:pPr>
        <w:pStyle w:val="FirstParagraph"/>
      </w:pPr>
      <w:r>
        <w:rPr>
          <w:bCs/>
          <w:b/>
        </w:rPr>
        <w:t xml:space="preserve">Company:</w:t>
      </w:r>
      <w:r>
        <w:t xml:space="preserve"> </w:t>
      </w:r>
      <w:r>
        <w:t xml:space="preserve">Persia Editorial Solutions Co.</w:t>
      </w:r>
    </w:p>
    <w:p>
      <w:pPr>
        <w:pStyle w:val="BodyText"/>
      </w:pPr>
      <w:r>
        <w:rPr>
          <w:bCs/>
          <w:b/>
        </w:rPr>
        <w:t xml:space="preserve">Address:</w:t>
      </w:r>
      <w:r>
        <w:t xml:space="preserve"> </w:t>
      </w:r>
      <w:r>
        <w:t xml:space="preserve">No. 42, Vali-e-Asr Street, District 12, Tehran, Iran</w:t>
      </w:r>
    </w:p>
    <w:p>
      <w:pPr>
        <w:pStyle w:val="BodyText"/>
      </w:pPr>
      <w:r>
        <w:rPr>
          <w:bCs/>
          <w:b/>
        </w:rPr>
        <w:t xml:space="preserve">Contact:</w:t>
      </w:r>
      <w:r>
        <w:t xml:space="preserve"> </w:t>
      </w:r>
      <w:r>
        <w:t xml:space="preserve">Mr. Amir Hosseini, Lead Editor</w:t>
      </w:r>
    </w:p>
    <w:p>
      <w:pPr>
        <w:pStyle w:val="BodyText"/>
      </w:pPr>
      <w:r>
        <w:rPr>
          <w:bCs/>
          <w:b/>
        </w:rPr>
        <w:t xml:space="preserve">Email:</w:t>
      </w:r>
      <w:r>
        <w:t xml:space="preserve"> </w:t>
      </w:r>
      <w:r>
        <w:t xml:space="preserve">billing@persiaeditorial.ir</w:t>
      </w:r>
    </w:p>
    <w:p>
      <w:pPr>
        <w:pStyle w:val="BodyText"/>
      </w:pPr>
      <w:r>
        <w:rPr>
          <w:bCs/>
          <w:b/>
        </w:rPr>
        <w:t xml:space="preserve">Phone:</w:t>
      </w:r>
      <w:r>
        <w:t xml:space="preserve"> </w:t>
      </w:r>
      <w:r>
        <w:t xml:space="preserve">+98-21-8876-5432</w:t>
      </w:r>
    </w:p>
    <w:p>
      <w:pPr>
        <w:pStyle w:val="BodyText"/>
      </w:pPr>
      <w:r>
        <w:rPr>
          <w:bCs/>
          <w:b/>
        </w:rPr>
        <w:t xml:space="preserve">Tax ID (Shenase Melli):</w:t>
      </w:r>
      <w:r>
        <w:t xml:space="preserve"> </w:t>
      </w:r>
      <w:r>
        <w:t xml:space="preserve">1024578963</w:t>
      </w:r>
    </w:p>
    <w:bookmarkEnd w:id="21"/>
    <w:bookmarkStart w:id="22" w:name="client"/>
    <w:p>
      <w:pPr>
        <w:pStyle w:val="Heading4"/>
      </w:pPr>
      <w:r>
        <w:t xml:space="preserve">Client</w:t>
      </w:r>
    </w:p>
    <w:p>
      <w:pPr>
        <w:pStyle w:val="FirstParagraph"/>
      </w:pPr>
      <w:r>
        <w:rPr>
          <w:bCs/>
          <w:b/>
        </w:rPr>
        <w:t xml:space="preserve">Company:</w:t>
      </w:r>
      <w:r>
        <w:t xml:space="preserve"> </w:t>
      </w:r>
      <w:r>
        <w:t xml:space="preserve">Alborz Publishing House</w:t>
      </w:r>
    </w:p>
    <w:p>
      <w:pPr>
        <w:pStyle w:val="BodyText"/>
      </w:pPr>
      <w:r>
        <w:rPr>
          <w:bCs/>
          <w:b/>
        </w:rPr>
        <w:t xml:space="preserve">Address:</w:t>
      </w:r>
      <w:r>
        <w:t xml:space="preserve"> </w:t>
      </w:r>
      <w:r>
        <w:t xml:space="preserve">No. 18, Enghelab Avenue, District 6, Tehran, Iran</w:t>
      </w:r>
    </w:p>
    <w:p>
      <w:pPr>
        <w:pStyle w:val="BodyText"/>
      </w:pPr>
      <w:r>
        <w:rPr>
          <w:bCs/>
          <w:b/>
        </w:rPr>
        <w:t xml:space="preserve">Contact:</w:t>
      </w:r>
      <w:r>
        <w:t xml:space="preserve"> </w:t>
      </w:r>
      <w:r>
        <w:t xml:space="preserve">Ms. Fatemeh Karimi, Procurement Manager</w:t>
      </w:r>
    </w:p>
    <w:p>
      <w:pPr>
        <w:pStyle w:val="BodyText"/>
      </w:pPr>
      <w:r>
        <w:rPr>
          <w:bCs/>
          <w:b/>
        </w:rPr>
        <w:t xml:space="preserve">Email:</w:t>
      </w:r>
      <w:r>
        <w:t xml:space="preserve"> </w:t>
      </w:r>
      <w:r>
        <w:t xml:space="preserve">purchasing@alborzpub.ir</w:t>
      </w:r>
    </w:p>
    <w:p>
      <w:pPr>
        <w:pStyle w:val="BodyText"/>
      </w:pPr>
      <w:r>
        <w:rPr>
          <w:bCs/>
          <w:b/>
        </w:rPr>
        <w:t xml:space="preserve">Phone:</w:t>
      </w:r>
      <w:r>
        <w:t xml:space="preserve"> </w:t>
      </w:r>
      <w:r>
        <w:t xml:space="preserve">+98-21-4455-6677</w:t>
      </w:r>
    </w:p>
    <w:p>
      <w:pPr>
        <w:pStyle w:val="BodyText"/>
      </w:pPr>
      <w:r>
        <w:rPr>
          <w:bCs/>
          <w:b/>
        </w:rPr>
        <w:t xml:space="preserve">Tax ID (Shenase Melli):</w:t>
      </w:r>
      <w:r>
        <w:t xml:space="preserve"> </w:t>
      </w:r>
      <w:r>
        <w:t xml:space="preserve">1087654321</w:t>
      </w:r>
    </w:p>
    <w:bookmarkEnd w:id="22"/>
    <w:p>
      <w:pPr>
        <w:pStyle w:val="BodyText"/>
      </w:pPr>
      <w:r>
        <w:rPr>
          <w:bCs/>
          <w:b/>
        </w:rPr>
        <w:t xml:space="preserve">Invoice Description:</w:t>
      </w:r>
      <w:r>
        <w:t xml:space="preserve"> </w:t>
      </w:r>
      <w:r>
        <w:t xml:space="preserve">This Invoice is issued by Persia Editorial Solutions Co., a specialized Editor and content refinement firm headquartered in Iran Tehran, for professional editorial services rendered to Alborz Publishing House. The Editor team, comprising senior linguists, proofreaders, and technical editors based in our Tehran office, provided comprehensive manuscript editing, copyediting, fact-checking, and stylistic refinement services for a collection of academic and literary publications. All editorial work was conducted in accordance with the publishing standards recognized across Iran Tehran's literary and academic communities, ensuring that every document met the highest quality benchmarks expected by regional and international readerships.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Editor / Team</w:t>
            </w:r>
          </w:p>
        </w:tc>
        <w:tc>
          <w:tcPr/>
          <w:p>
            <w:pPr>
              <w:pStyle w:val="Compact"/>
              <w:jc w:val="left"/>
            </w:pPr>
            <w:r>
              <w:t xml:space="preserve">Quantity</w:t>
            </w:r>
          </w:p>
        </w:tc>
        <w:tc>
          <w:tcPr/>
          <w:p>
            <w:pPr>
              <w:pStyle w:val="Compact"/>
              <w:jc w:val="left"/>
            </w:pPr>
            <w:r>
              <w:t xml:space="preserve">Unit Price (IRR)</w:t>
            </w:r>
          </w:p>
        </w:tc>
        <w:tc>
          <w:tcPr/>
          <w:p>
            <w:pPr>
              <w:pStyle w:val="Compact"/>
              <w:jc w:val="left"/>
            </w:pPr>
            <w:r>
              <w:t xml:space="preserve">Amount (IRR)</w:t>
            </w:r>
          </w:p>
        </w:tc>
      </w:tr>
      <w:tr>
        <w:tc>
          <w:tcPr/>
          <w:p>
            <w:pPr>
              <w:pStyle w:val="Compact"/>
              <w:jc w:val="left"/>
            </w:pPr>
            <w:r>
              <w:t xml:space="preserve">1</w:t>
            </w:r>
          </w:p>
        </w:tc>
        <w:tc>
          <w:tcPr/>
          <w:p>
            <w:pPr>
              <w:pStyle w:val="Compact"/>
              <w:jc w:val="left"/>
            </w:pPr>
            <w:r>
              <w:t xml:space="preserve">Full manuscript editing (academic journal articles, 120 pages total) – structural editing, grammar, and style correction performed by senior Editor in Tehran</w:t>
            </w:r>
          </w:p>
        </w:tc>
        <w:tc>
          <w:tcPr/>
          <w:p>
            <w:pPr>
              <w:pStyle w:val="Compact"/>
              <w:jc w:val="left"/>
            </w:pPr>
            <w:r>
              <w:t xml:space="preserve">Senior Editor Team A</w:t>
            </w:r>
          </w:p>
        </w:tc>
        <w:tc>
          <w:tcPr/>
          <w:p>
            <w:pPr>
              <w:pStyle w:val="Compact"/>
              <w:jc w:val="left"/>
            </w:pPr>
            <w:r>
              <w:t xml:space="preserve">120 pages</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Technical editing and fact-checking for engineering reference book (250 pages) – conducted by specialized Editor at Iran Tehran office</w:t>
            </w:r>
          </w:p>
        </w:tc>
        <w:tc>
          <w:tcPr/>
          <w:p>
            <w:pPr>
              <w:pStyle w:val="Compact"/>
              <w:jc w:val="left"/>
            </w:pPr>
            <w:r>
              <w:t xml:space="preserve">Technical Editor Team B</w:t>
            </w:r>
          </w:p>
        </w:tc>
        <w:tc>
          <w:tcPr/>
          <w:p>
            <w:pPr>
              <w:pStyle w:val="Compact"/>
              <w:jc w:val="left"/>
            </w:pPr>
            <w:r>
              <w:t xml:space="preserve">250 pages</w:t>
            </w:r>
          </w:p>
        </w:tc>
        <w:tc>
          <w:tcPr/>
          <w:p>
            <w:pPr>
              <w:pStyle w:val="Compact"/>
              <w:jc w:val="left"/>
            </w:pPr>
            <w:r>
              <w:t xml:space="preserve">95,000</w:t>
            </w:r>
          </w:p>
        </w:tc>
        <w:tc>
          <w:tcPr/>
          <w:p>
            <w:pPr>
              <w:pStyle w:val="Compact"/>
              <w:jc w:val="left"/>
            </w:pPr>
            <w:r>
              <w:t xml:space="preserve">23,750,000</w:t>
            </w:r>
          </w:p>
        </w:tc>
      </w:tr>
      <w:tr>
        <w:tc>
          <w:tcPr/>
          <w:p>
            <w:pPr>
              <w:pStyle w:val="Compact"/>
              <w:jc w:val="left"/>
            </w:pPr>
            <w:r>
              <w:t xml:space="preserve">3</w:t>
            </w:r>
          </w:p>
        </w:tc>
        <w:tc>
          <w:tcPr/>
          <w:p>
            <w:pPr>
              <w:pStyle w:val="Compact"/>
              <w:jc w:val="left"/>
            </w:pPr>
            <w:r>
              <w:t xml:space="preserve">Copyediting and proofreading for literary fiction collection (180 pages) – narrative flow, dialogue consistency, and typographical review by Editor</w:t>
            </w:r>
          </w:p>
        </w:tc>
        <w:tc>
          <w:tcPr/>
          <w:p>
            <w:pPr>
              <w:pStyle w:val="Compact"/>
              <w:jc w:val="left"/>
            </w:pPr>
            <w:r>
              <w:t xml:space="preserve">Literary Editor Team C</w:t>
            </w:r>
          </w:p>
        </w:tc>
        <w:tc>
          <w:tcPr/>
          <w:p>
            <w:pPr>
              <w:pStyle w:val="Compact"/>
              <w:jc w:val="left"/>
            </w:pPr>
            <w:r>
              <w:t xml:space="preserve">180 pages</w:t>
            </w:r>
          </w:p>
        </w:tc>
        <w:tc>
          <w:tcPr/>
          <w:p>
            <w:pPr>
              <w:pStyle w:val="Compact"/>
              <w:jc w:val="left"/>
            </w:pPr>
            <w:r>
              <w:t xml:space="preserve">78,000</w:t>
            </w:r>
          </w:p>
        </w:tc>
        <w:tc>
          <w:tcPr/>
          <w:p>
            <w:pPr>
              <w:pStyle w:val="Compact"/>
              <w:jc w:val="left"/>
            </w:pPr>
            <w:r>
              <w:t xml:space="preserve">14,040,000</w:t>
            </w:r>
          </w:p>
        </w:tc>
      </w:tr>
      <w:tr>
        <w:tc>
          <w:tcPr/>
          <w:p>
            <w:pPr>
              <w:pStyle w:val="Compact"/>
              <w:jc w:val="left"/>
            </w:pPr>
            <w:r>
              <w:t xml:space="preserve">4</w:t>
            </w:r>
          </w:p>
        </w:tc>
        <w:tc>
          <w:tcPr/>
          <w:p>
            <w:pPr>
              <w:pStyle w:val="Compact"/>
              <w:jc w:val="left"/>
            </w:pPr>
            <w:r>
              <w:t xml:space="preserve">Translation editing (Persian to English) for international publication (95 pages) – bilingual Editor review for accuracy and cultural context</w:t>
            </w:r>
          </w:p>
        </w:tc>
        <w:tc>
          <w:tcPr/>
          <w:p>
            <w:pPr>
              <w:pStyle w:val="Compact"/>
              <w:jc w:val="left"/>
            </w:pPr>
            <w:r>
              <w:t xml:space="preserve">Bilingual Editor Team D</w:t>
            </w:r>
          </w:p>
        </w:tc>
        <w:tc>
          <w:tcPr/>
          <w:p>
            <w:pPr>
              <w:pStyle w:val="Compact"/>
              <w:jc w:val="left"/>
            </w:pPr>
            <w:r>
              <w:t xml:space="preserve">95 pages</w:t>
            </w:r>
          </w:p>
        </w:tc>
        <w:tc>
          <w:tcPr/>
          <w:p>
            <w:pPr>
              <w:pStyle w:val="Compact"/>
              <w:jc w:val="left"/>
            </w:pPr>
            <w:r>
              <w:t xml:space="preserve">120,000</w:t>
            </w:r>
          </w:p>
        </w:tc>
        <w:tc>
          <w:tcPr/>
          <w:p>
            <w:pPr>
              <w:pStyle w:val="Compact"/>
              <w:jc w:val="left"/>
            </w:pPr>
            <w:r>
              <w:t xml:space="preserve">11,400,000</w:t>
            </w:r>
          </w:p>
        </w:tc>
      </w:tr>
      <w:tr>
        <w:tc>
          <w:tcPr/>
          <w:p>
            <w:pPr>
              <w:pStyle w:val="Compact"/>
              <w:jc w:val="left"/>
            </w:pPr>
            <w:r>
              <w:t xml:space="preserve">5</w:t>
            </w:r>
          </w:p>
        </w:tc>
        <w:tc>
          <w:tcPr/>
          <w:p>
            <w:pPr>
              <w:pStyle w:val="Compact"/>
              <w:jc w:val="left"/>
            </w:pPr>
            <w:r>
              <w:t xml:space="preserve">Editorial consultation and style guide development for Alborz Publishing House – ongoing advisory by lead Editor based in Iran Tehran</w:t>
            </w:r>
          </w:p>
        </w:tc>
        <w:tc>
          <w:tcPr/>
          <w:p>
            <w:pPr>
              <w:pStyle w:val="Compact"/>
              <w:jc w:val="left"/>
            </w:pPr>
            <w:r>
              <w:t xml:space="preserve">Lead Editor (Consultant)</w:t>
            </w:r>
          </w:p>
        </w:tc>
        <w:tc>
          <w:tcPr/>
          <w:p>
            <w:pPr>
              <w:pStyle w:val="Compact"/>
              <w:jc w:val="left"/>
            </w:pPr>
            <w:r>
              <w:t xml:space="preserve">40 hours</w:t>
            </w:r>
          </w:p>
        </w:tc>
        <w:tc>
          <w:tcPr/>
          <w:p>
            <w:pPr>
              <w:pStyle w:val="Compact"/>
              <w:jc w:val="left"/>
            </w:pPr>
            <w:r>
              <w:t xml:space="preserve">150,000</w:t>
            </w:r>
          </w:p>
        </w:tc>
        <w:tc>
          <w:tcPr/>
          <w:p>
            <w:pPr>
              <w:pStyle w:val="Compact"/>
              <w:jc w:val="left"/>
            </w:pPr>
            <w:r>
              <w:t xml:space="preserve">6,000,000</w:t>
            </w:r>
          </w:p>
        </w:tc>
      </w:tr>
      <w:tr>
        <w:tc>
          <w:tcPr/>
          <w:p>
            <w:pPr>
              <w:pStyle w:val="Compact"/>
              <w:jc w:val="left"/>
            </w:pPr>
            <w:r>
              <w:t xml:space="preserve">6</w:t>
            </w:r>
          </w:p>
        </w:tc>
        <w:tc>
          <w:tcPr/>
          <w:p>
            <w:pPr>
              <w:pStyle w:val="Compact"/>
              <w:jc w:val="left"/>
            </w:pPr>
            <w:r>
              <w:t xml:space="preserve">Urgent same-day editing service for press release and media kit (25 pages) – expedited Editor turnaround in Tehran</w:t>
            </w:r>
          </w:p>
        </w:tc>
        <w:tc>
          <w:tcPr/>
          <w:p>
            <w:pPr>
              <w:pStyle w:val="Compact"/>
              <w:jc w:val="left"/>
            </w:pPr>
            <w:r>
              <w:t xml:space="preserve">Expedited Editor Desk</w:t>
            </w:r>
          </w:p>
        </w:tc>
        <w:tc>
          <w:tcPr/>
          <w:p>
            <w:pPr>
              <w:pStyle w:val="Compact"/>
              <w:jc w:val="left"/>
            </w:pPr>
            <w:r>
              <w:t xml:space="preserve">25 pages</w:t>
            </w:r>
          </w:p>
        </w:tc>
        <w:tc>
          <w:tcPr/>
          <w:p>
            <w:pPr>
              <w:pStyle w:val="Compact"/>
              <w:jc w:val="left"/>
            </w:pPr>
            <w:r>
              <w:t xml:space="preserve">130,000</w:t>
            </w:r>
          </w:p>
        </w:tc>
        <w:tc>
          <w:tcPr/>
          <w:p>
            <w:pPr>
              <w:pStyle w:val="Compact"/>
              <w:jc w:val="left"/>
            </w:pPr>
            <w:r>
              <w:t xml:space="preserve">3,250,000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68,640,000 IRR</w:t>
            </w:r>
          </w:p>
        </w:tc>
      </w:tr>
      <w:tr>
        <w:tc>
          <w:tcPr/>
          <w:p>
            <w:pPr>
              <w:pStyle w:val="Compact"/>
              <w:jc w:val="left"/>
            </w:pPr>
            <w:r>
              <w:t xml:space="preserve">VAT (9% – Iran Standard Rate)</w:t>
            </w:r>
          </w:p>
        </w:tc>
        <w:tc>
          <w:tcPr/>
          <w:p>
            <w:pPr>
              <w:pStyle w:val="Compact"/>
              <w:jc w:val="right"/>
            </w:pPr>
            <w:r>
              <w:t xml:space="preserve">6,177,600 IRR</w:t>
            </w:r>
          </w:p>
        </w:tc>
      </w:tr>
      <w:tr>
        <w:tc>
          <w:tcPr/>
          <w:p>
            <w:pPr>
              <w:pStyle w:val="Compact"/>
              <w:jc w:val="left"/>
            </w:pPr>
            <w:r>
              <w:t xml:space="preserve">Discount (Loyal Client – 5%)</w:t>
            </w:r>
          </w:p>
        </w:tc>
        <w:tc>
          <w:tcPr/>
          <w:p>
            <w:pPr>
              <w:pStyle w:val="Compact"/>
              <w:jc w:val="right"/>
            </w:pPr>
            <w:r>
              <w:t xml:space="preserve">-3,432,000 IRR</w:t>
            </w:r>
          </w:p>
        </w:tc>
      </w:tr>
      <w:tr>
        <w:tc>
          <w:tcPr/>
          <w:p>
            <w:pPr>
              <w:pStyle w:val="Compact"/>
              <w:jc w:val="left"/>
            </w:pPr>
            <w:r>
              <w:t xml:space="preserve">Grand Total Due</w:t>
            </w:r>
          </w:p>
        </w:tc>
        <w:tc>
          <w:tcPr/>
          <w:p>
            <w:pPr>
              <w:pStyle w:val="Compact"/>
              <w:jc w:val="right"/>
            </w:pPr>
            <w:r>
              <w:t xml:space="preserve">71,385,600 IRR</w:t>
            </w:r>
          </w:p>
        </w:tc>
      </w:tr>
      <w:tr>
        <w:tc>
          <w:tcPr>
            <w:gridSpan w:val="2"/>
          </w:tcPr>
          <w:p>
            <w:pPr>
              <w:pStyle w:val="Compact"/>
              <w:jc w:val="left"/>
            </w:pPr>
            <w:r>
              <w:t xml:space="preserve">Equivalent: approximately USD 1,680.00 (at rate of 42,500 IRR/USD)</w:t>
            </w:r>
          </w:p>
        </w:tc>
      </w:tr>
    </w:tbl>
    <w:bookmarkStart w:id="23" w:name="invoice-notes-payment-instructions"/>
    <w:p>
      <w:pPr>
        <w:pStyle w:val="Heading4"/>
      </w:pPr>
      <w:r>
        <w:t xml:space="preserve">Invoice Notes &amp; Payment Instructions</w:t>
      </w:r>
    </w:p>
    <w:p>
      <w:pPr>
        <w:pStyle w:val="FirstParagraph"/>
      </w:pPr>
      <w:r>
        <w:rPr>
          <w:bCs/>
          <w:b/>
        </w:rPr>
        <w:t xml:space="preserve">1.</w:t>
      </w:r>
      <w:r>
        <w:t xml:space="preserve"> </w:t>
      </w:r>
      <w:r>
        <w:t xml:space="preserve">This Invoice must be settled within thirty (30) calendar days from the date of issue. Late payments will incur a penalty of 2% per month as per Iranian commercial law.</w:t>
      </w:r>
    </w:p>
    <w:p>
      <w:pPr>
        <w:pStyle w:val="BodyText"/>
      </w:pPr>
      <w:r>
        <w:rPr>
          <w:bCs/>
          <w:b/>
        </w:rPr>
        <w:t xml:space="preserve">2.</w:t>
      </w:r>
      <w:r>
        <w:t xml:space="preserve"> </w:t>
      </w:r>
      <w:r>
        <w:t xml:space="preserve">Payment should be made via bank transfer to: Bank Melli Iran, Branch: Vali-e-Asr, Tehran. Account Name: Persia Editorial Solutions Co. IBAN: IR88 MELL 0000 0012 3456 7890 1234.</w:t>
      </w:r>
    </w:p>
    <w:p>
      <w:pPr>
        <w:pStyle w:val="BodyText"/>
      </w:pPr>
      <w:r>
        <w:rPr>
          <w:bCs/>
          <w:b/>
        </w:rPr>
        <w:t xml:space="preserve">3.</w:t>
      </w:r>
      <w:r>
        <w:t xml:space="preserve"> </w:t>
      </w:r>
      <w:r>
        <w:t xml:space="preserve">All editorial work referenced in this Invoice was performed by qualified Editor professionals at our facility in Iran Tehran. The Editor team adhered to the Farsi and English editorial standards established by the Iranian Academy of Persian Language and Literature.</w:t>
      </w:r>
    </w:p>
    <w:p>
      <w:pPr>
        <w:pStyle w:val="BodyText"/>
      </w:pPr>
      <w:r>
        <w:rPr>
          <w:bCs/>
          <w:b/>
        </w:rPr>
        <w:t xml:space="preserve">4.</w:t>
      </w:r>
      <w:r>
        <w:t xml:space="preserve"> </w:t>
      </w:r>
      <w:r>
        <w:t xml:space="preserve">A detailed Editor's report, including tracked changes, annotations, and a summary of all modifications made to each manuscript, has been delivered electronically to the client's designated contact. The Editor's report is valid for 90 days from the date of this Invoice.</w:t>
      </w:r>
    </w:p>
    <w:p>
      <w:pPr>
        <w:pStyle w:val="BodyText"/>
      </w:pPr>
      <w:r>
        <w:rPr>
          <w:bCs/>
          <w:b/>
        </w:rPr>
        <w:t xml:space="preserve">5.</w:t>
      </w:r>
      <w:r>
        <w:t xml:space="preserve"> </w:t>
      </w:r>
      <w:r>
        <w:t xml:space="preserve">Should the client require additional editing passes or revisions beyond the scope outlined in this Invoice, a supplementary Invoice will be generated by the Editor's office in Tehran. Please reference Invoice No. INV-TEH-2025-04871 in all correspondence.</w:t>
      </w:r>
    </w:p>
    <w:p>
      <w:pPr>
        <w:pStyle w:val="BodyText"/>
      </w:pPr>
      <w:r>
        <w:rPr>
          <w:bCs/>
          <w:b/>
        </w:rPr>
        <w:t xml:space="preserve">6.</w:t>
      </w:r>
      <w:r>
        <w:t xml:space="preserve"> </w:t>
      </w:r>
      <w:r>
        <w:t xml:space="preserve">This Invoice is valid only for the fiscal year 1404 (Iranian calendar). For tax and accounting purposes in Iran Tehran, please retain this document along with the official stamped copy provided at our office.</w:t>
      </w:r>
    </w:p>
    <w:bookmarkEnd w:id="23"/>
    <w:p>
      <w:pPr>
        <w:pStyle w:val="BodyText"/>
      </w:pPr>
      <w:r>
        <w:rPr>
          <w:bCs/>
          <w:b/>
        </w:rPr>
        <w:t xml:space="preserve">Persia Editorial Solutions Co.</w:t>
      </w:r>
      <w:r>
        <w:t xml:space="preserve"> </w:t>
      </w:r>
      <w:r>
        <w:t xml:space="preserve">| Professional Editor Services | Iran Tehran</w:t>
      </w:r>
    </w:p>
    <w:p>
      <w:pPr>
        <w:pStyle w:val="BodyText"/>
      </w:pPr>
      <w:r>
        <w:t xml:space="preserve">Registered with the Tehran Chamber of Commerce, Industry, Mines and Agriculture | License No. TEH-ED-2019-00342</w:t>
      </w:r>
    </w:p>
    <w:p>
      <w:pPr>
        <w:pStyle w:val="BodyText"/>
      </w:pPr>
      <w:r>
        <w:t xml:space="preserve">This Invoice was generated electronically and is valid without a physical stamp. For verification, contact our billing department in Tehran, Iran.</w:t>
      </w:r>
    </w:p>
    <w:p>
      <w:pPr>
        <w:pStyle w:val="BodyText"/>
      </w:pPr>
      <w:r>
        <w:t xml:space="preserve">© 2025 Persia Editorial Solutions Co. All rights reserved. | Invoice INV-TEH-2025-04871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Editorial Services - Tehran, Iran</dc:title>
  <dc:creator/>
  <dc:language>en</dc:language>
  <cp:keywords/>
  <dcterms:created xsi:type="dcterms:W3CDTF">2026-10-10T01:50:06Z</dcterms:created>
  <dcterms:modified xsi:type="dcterms:W3CDTF">2026-10-10T01:50:06Z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