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meridian-digital-solutions-ltd."/>
    <w:p>
      <w:pPr>
        <w:pStyle w:val="Heading1"/>
      </w:pPr>
      <w:r>
        <w:t xml:space="preserve">Meridian Digital Solutions Ltd.</w:t>
      </w:r>
    </w:p>
    <w:p>
      <w:pPr>
        <w:pStyle w:val="FirstParagraph"/>
      </w:pPr>
      <w:r>
        <w:t xml:space="preserve">42 Levent Avenue, Suite 1200</w:t>
      </w:r>
    </w:p>
    <w:p>
      <w:pPr>
        <w:pStyle w:val="BodyText"/>
      </w:pPr>
      <w:r>
        <w:t xml:space="preserve">Istanbul, 34330, Turkey</w:t>
      </w:r>
    </w:p>
    <w:p>
      <w:pPr>
        <w:pStyle w:val="BodyText"/>
      </w:pPr>
      <w:r>
        <w:t xml:space="preserve">Tax ID (VKN): 1234567890</w:t>
      </w:r>
    </w:p>
    <w:p>
      <w:pPr>
        <w:pStyle w:val="BodyText"/>
      </w:pPr>
      <w:r>
        <w:t xml:space="preserve">Email: billing@meridiandigital.com.tr</w:t>
      </w:r>
    </w:p>
    <w:p>
      <w:pPr>
        <w:pStyle w:val="BodyText"/>
      </w:pPr>
      <w:r>
        <w:t xml:space="preserve">Phone: +90 212 555 0147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MSD-2025-00847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Jun 2025 – 30 Jun 2025</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Bosphorus Media Group A.Ş.</w:t>
      </w:r>
    </w:p>
    <w:p>
      <w:pPr>
        <w:pStyle w:val="BodyText"/>
      </w:pPr>
      <w:r>
        <w:t xml:space="preserve">Attn: Mr. Emre Kaya, Chief Content Officer</w:t>
      </w:r>
    </w:p>
    <w:p>
      <w:pPr>
        <w:pStyle w:val="BodyText"/>
      </w:pPr>
      <w:r>
        <w:t xml:space="preserve">18 Nisan Street, No. 56, Kat 8</w:t>
      </w:r>
    </w:p>
    <w:p>
      <w:pPr>
        <w:pStyle w:val="BodyText"/>
      </w:pPr>
      <w:r>
        <w:t xml:space="preserve">Beşiktaş, 34353 Istanbul, Turkey</w:t>
      </w:r>
    </w:p>
    <w:p>
      <w:pPr>
        <w:pStyle w:val="BodyText"/>
      </w:pPr>
      <w:r>
        <w:t xml:space="preserve">Tax ID (VKN): 9876543210</w:t>
      </w:r>
    </w:p>
    <w:p>
      <w:pPr>
        <w:pStyle w:val="BodyText"/>
      </w:pPr>
      <w:r>
        <w:t xml:space="preserve">Email: e.kaya@bosphorusmedia.com.tr</w:t>
      </w:r>
    </w:p>
    <w:bookmarkEnd w:id="22"/>
    <w:bookmarkStart w:id="23" w:name="service-provider"/>
    <w:p>
      <w:pPr>
        <w:pStyle w:val="Heading3"/>
      </w:pPr>
      <w:r>
        <w:t xml:space="preserve">Service Provider</w:t>
      </w:r>
    </w:p>
    <w:p>
      <w:pPr>
        <w:pStyle w:val="FirstParagraph"/>
      </w:pPr>
      <w:r>
        <w:rPr>
          <w:bCs/>
          <w:b/>
        </w:rPr>
        <w:t xml:space="preserve">Meridian Digital Solutions Ltd.</w:t>
      </w:r>
    </w:p>
    <w:p>
      <w:pPr>
        <w:pStyle w:val="BodyText"/>
      </w:pPr>
      <w:r>
        <w:t xml:space="preserve">Attn: Ms. Aylin Demir, Account Manager</w:t>
      </w:r>
    </w:p>
    <w:p>
      <w:pPr>
        <w:pStyle w:val="BodyText"/>
      </w:pPr>
      <w:r>
        <w:t xml:space="preserve">42 Levent Avenue, Suite 1200</w:t>
      </w:r>
    </w:p>
    <w:p>
      <w:pPr>
        <w:pStyle w:val="BodyText"/>
      </w:pPr>
      <w:r>
        <w:t xml:space="preserve">Beşiktaş, 34330 Istanbul, Turkey</w:t>
      </w:r>
    </w:p>
    <w:p>
      <w:pPr>
        <w:pStyle w:val="BodyText"/>
      </w:pPr>
      <w:r>
        <w:t xml:space="preserve">Tax ID (VKN): 1234567890</w:t>
      </w:r>
    </w:p>
    <w:p>
      <w:pPr>
        <w:pStyle w:val="BodyText"/>
      </w:pPr>
      <w:r>
        <w:t xml:space="preserve">Email: a.demir@meridiandigital.com.tr</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Editor Services</w:t>
            </w:r>
          </w:p>
        </w:tc>
        <w:tc>
          <w:tcPr/>
          <w:p>
            <w:pPr>
              <w:pStyle w:val="Compact"/>
              <w:jc w:val="left"/>
            </w:pPr>
            <w:r>
              <w:t xml:space="preserve">Quantity</w:t>
            </w:r>
          </w:p>
        </w:tc>
        <w:tc>
          <w:tcPr/>
          <w:p>
            <w:pPr>
              <w:pStyle w:val="Compact"/>
              <w:jc w:val="left"/>
            </w:pPr>
            <w:r>
              <w:t xml:space="preserve">Unit Rate (TRY)</w:t>
            </w:r>
          </w:p>
        </w:tc>
        <w:tc>
          <w:tcPr/>
          <w:p>
            <w:pPr>
              <w:pStyle w:val="Compact"/>
              <w:jc w:val="left"/>
            </w:pPr>
            <w:r>
              <w:t xml:space="preserve">Amount (TRY)</w:t>
            </w:r>
          </w:p>
        </w:tc>
      </w:tr>
      <w:tr>
        <w:tc>
          <w:tcPr/>
          <w:p>
            <w:pPr>
              <w:pStyle w:val="Compact"/>
              <w:jc w:val="left"/>
            </w:pPr>
            <w:r>
              <w:t xml:space="preserve">01</w:t>
            </w:r>
          </w:p>
        </w:tc>
        <w:tc>
          <w:tcPr/>
          <w:p>
            <w:pPr>
              <w:pStyle w:val="Compact"/>
              <w:jc w:val="left"/>
            </w:pPr>
            <w:r>
              <w:t xml:space="preserve">Professional Editor – Senior Content Editor engagement for monthly editorial oversight of Bosphorus Media Group's digital publications. Includes editorial strategy consultation, copy review, and style guide enforcement for all content produced in Turkey Istanbul offices.</w:t>
            </w:r>
          </w:p>
        </w:tc>
        <w:tc>
          <w:tcPr/>
          <w:p>
            <w:pPr>
              <w:pStyle w:val="Compact"/>
              <w:jc w:val="left"/>
            </w:pPr>
            <w:r>
              <w:t xml:space="preserve">1 month</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Editor – Video Editor post-production services. Full editing of 12 promotional video assets (4K resolution) for the client's Q3 marketing campaign. Includes color grading, audio mixing, motion graphics integration, and final export in formats suitable for Turkish broadcast and digital platforms.</w:t>
            </w:r>
          </w:p>
        </w:tc>
        <w:tc>
          <w:tcPr/>
          <w:p>
            <w:pPr>
              <w:pStyle w:val="Compact"/>
              <w:jc w:val="left"/>
            </w:pPr>
            <w:r>
              <w:t xml:space="preserve">12 videos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Editor – Software Editor license provision. Enterprise license for Meridian Editor Pro Suite (v7.2) including advanced text editing, real-time collaboration tools, and AI-assisted proofreading modules. License valid for 10 concurrent users at the client's Turkey Istanbul headquarters.</w:t>
            </w:r>
          </w:p>
        </w:tc>
        <w:tc>
          <w:tcPr/>
          <w:p>
            <w:pPr>
              <w:pStyle w:val="Compact"/>
              <w:jc w:val="left"/>
            </w:pPr>
            <w:r>
              <w:t xml:space="preserve">10 licenses</w:t>
            </w:r>
          </w:p>
        </w:tc>
        <w:tc>
          <w:tcPr/>
          <w:p>
            <w:pPr>
              <w:pStyle w:val="Compact"/>
              <w:jc w:val="left"/>
            </w:pPr>
            <w:r>
              <w:t xml:space="preserve">2,800.00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Editor – On-site Editor training workshop. Two-day intensive training session conducted at the client's Beşiktaş office in Turkey Istanbul. Covers advanced Editor Pro Suite workflows, editorial best practices, and localization guidelines for Turkish-language content production.</w:t>
            </w:r>
          </w:p>
        </w:tc>
        <w:tc>
          <w:tcPr/>
          <w:p>
            <w:pPr>
              <w:pStyle w:val="Compact"/>
              <w:jc w:val="left"/>
            </w:pPr>
            <w:r>
              <w:t xml:space="preserve">2 days</w:t>
            </w:r>
          </w:p>
        </w:tc>
        <w:tc>
          <w:tcPr/>
          <w:p>
            <w:pPr>
              <w:pStyle w:val="Compact"/>
              <w:jc w:val="left"/>
            </w:pPr>
            <w:r>
              <w:t xml:space="preserve">7,500.00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Editor – Freelance Editor on-call support. Dedicated freelance Editor available for 40 hours of ad-hoc editorial support, including urgent copy revisions, fact-checking, and translation review for multilingual content distributed across Turkey Istanbul and regional markets.</w:t>
            </w:r>
          </w:p>
        </w:tc>
        <w:tc>
          <w:tcPr/>
          <w:p>
            <w:pPr>
              <w:pStyle w:val="Compact"/>
              <w:jc w:val="left"/>
            </w:pPr>
            <w:r>
              <w:t xml:space="preserve">40 hours</w:t>
            </w:r>
          </w:p>
        </w:tc>
        <w:tc>
          <w:tcPr/>
          <w:p>
            <w:pPr>
              <w:pStyle w:val="Compact"/>
              <w:jc w:val="left"/>
            </w:pPr>
            <w:r>
              <w:t xml:space="preserve">950.00</w:t>
            </w:r>
          </w:p>
        </w:tc>
        <w:tc>
          <w:tcPr/>
          <w:p>
            <w:pPr>
              <w:pStyle w:val="Compact"/>
              <w:jc w:val="left"/>
            </w:pPr>
            <w:r>
              <w:t xml:space="preserve">38,000.00</w:t>
            </w:r>
          </w:p>
        </w:tc>
      </w:tr>
      <w:tr>
        <w:tc>
          <w:tcPr/>
          <w:p>
            <w:pPr>
              <w:pStyle w:val="Compact"/>
              <w:jc w:val="left"/>
            </w:pPr>
            <w:r>
              <w:t xml:space="preserve">06</w:t>
            </w:r>
          </w:p>
        </w:tc>
        <w:tc>
          <w:tcPr/>
          <w:p>
            <w:pPr>
              <w:pStyle w:val="Compact"/>
              <w:jc w:val="left"/>
            </w:pPr>
            <w:r>
              <w:t xml:space="preserve">Editor – Archive Editor migration service. Migration and reformatting of 3,200 legacy editorial documents from the client's previous CMS into the Meridian Editor Pro Suite format. Includes metadata tagging, version control setup, and quality assurance verification.</w:t>
            </w:r>
          </w:p>
        </w:tc>
        <w:tc>
          <w:tcPr/>
          <w:p>
            <w:pPr>
              <w:pStyle w:val="Compact"/>
              <w:jc w:val="left"/>
            </w:pPr>
            <w:r>
              <w:t xml:space="preserve">3,200 docs</w:t>
            </w:r>
          </w:p>
        </w:tc>
        <w:tc>
          <w:tcPr/>
          <w:p>
            <w:pPr>
              <w:pStyle w:val="Compact"/>
              <w:jc w:val="left"/>
            </w:pPr>
            <w:r>
              <w:t xml:space="preserve">185.00</w:t>
            </w:r>
          </w:p>
        </w:tc>
        <w:tc>
          <w:tcPr/>
          <w:p>
            <w:pPr>
              <w:pStyle w:val="Compact"/>
              <w:jc w:val="left"/>
            </w:pPr>
            <w:r>
              <w:t xml:space="preserve">59,200.00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209,100.00 TRY</w:t>
            </w:r>
          </w:p>
        </w:tc>
      </w:tr>
      <w:tr>
        <w:tc>
          <w:tcPr/>
          <w:p>
            <w:pPr>
              <w:pStyle w:val="Compact"/>
              <w:jc w:val="left"/>
            </w:pPr>
            <w:r>
              <w:t xml:space="preserve">VAT (KDV) – 20%</w:t>
            </w:r>
          </w:p>
        </w:tc>
        <w:tc>
          <w:tcPr/>
          <w:p>
            <w:pPr>
              <w:pStyle w:val="Compact"/>
              <w:jc w:val="right"/>
            </w:pPr>
            <w:r>
              <w:t xml:space="preserve">41,820.00 TRY</w:t>
            </w:r>
          </w:p>
        </w:tc>
      </w:tr>
      <w:tr>
        <w:tc>
          <w:tcPr/>
          <w:p>
            <w:pPr>
              <w:pStyle w:val="Compact"/>
              <w:jc w:val="left"/>
            </w:pPr>
            <w:r>
              <w:t xml:space="preserve">Service Tax (Hizmet Vergisi) – 5%</w:t>
            </w:r>
          </w:p>
        </w:tc>
        <w:tc>
          <w:tcPr/>
          <w:p>
            <w:pPr>
              <w:pStyle w:val="Compact"/>
              <w:jc w:val="right"/>
            </w:pPr>
            <w:r>
              <w:t xml:space="preserve">10,455.00 TRY</w:t>
            </w:r>
          </w:p>
        </w:tc>
      </w:tr>
      <w:tr>
        <w:tc>
          <w:tcPr/>
          <w:p>
            <w:pPr>
              <w:pStyle w:val="Compact"/>
              <w:jc w:val="left"/>
            </w:pPr>
            <w:r>
              <w:t xml:space="preserve">Early Payment Discount (5% if paid before 20 Jun 2025)</w:t>
            </w:r>
          </w:p>
        </w:tc>
        <w:tc>
          <w:tcPr/>
          <w:p>
            <w:pPr>
              <w:pStyle w:val="Compact"/>
              <w:jc w:val="right"/>
            </w:pPr>
            <w:r>
              <w:t xml:space="preserve">-10,455.00 TRY</w:t>
            </w:r>
          </w:p>
        </w:tc>
      </w:tr>
      <w:tr>
        <w:tc>
          <w:tcPr/>
          <w:p>
            <w:pPr>
              <w:pStyle w:val="Compact"/>
              <w:jc w:val="left"/>
            </w:pPr>
            <w:r>
              <w:t xml:space="preserve">Grand Total Due</w:t>
            </w:r>
          </w:p>
        </w:tc>
        <w:tc>
          <w:tcPr/>
          <w:p>
            <w:pPr>
              <w:pStyle w:val="Compact"/>
              <w:jc w:val="right"/>
            </w:pPr>
            <w:r>
              <w:t xml:space="preserve">250,920.00 TRY</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Ziraat Bankası A.Ş., Levent Branch, Istanbul, Turkey</w:t>
      </w:r>
    </w:p>
    <w:p>
      <w:pPr>
        <w:pStyle w:val="BodyText"/>
      </w:pPr>
      <w:r>
        <w:rPr>
          <w:bCs/>
          <w:b/>
        </w:rPr>
        <w:t xml:space="preserve">Account Name:</w:t>
      </w:r>
      <w:r>
        <w:t xml:space="preserve"> </w:t>
      </w:r>
      <w:r>
        <w:t xml:space="preserve">Meridian Digital Solutions Ltd.</w:t>
      </w:r>
    </w:p>
    <w:p>
      <w:pPr>
        <w:pStyle w:val="BodyText"/>
      </w:pPr>
      <w:r>
        <w:rPr>
          <w:bCs/>
          <w:b/>
        </w:rPr>
        <w:t xml:space="preserve">IBAN:</w:t>
      </w:r>
      <w:r>
        <w:t xml:space="preserve"> </w:t>
      </w:r>
      <w:r>
        <w:t xml:space="preserve">TR33 0001 0002 3456 7890 1234 56</w:t>
      </w:r>
    </w:p>
    <w:p>
      <w:pPr>
        <w:pStyle w:val="BodyText"/>
      </w:pPr>
      <w:r>
        <w:rPr>
          <w:bCs/>
          <w:b/>
        </w:rPr>
        <w:t xml:space="preserve">SWIFT/BIC:</w:t>
      </w:r>
      <w:r>
        <w:t xml:space="preserve"> </w:t>
      </w:r>
      <w:r>
        <w:t xml:space="preserve">TCBKTR2A</w:t>
      </w:r>
    </w:p>
    <w:p>
      <w:pPr>
        <w:pStyle w:val="BodyText"/>
      </w:pPr>
      <w:r>
        <w:rPr>
          <w:bCs/>
          <w:b/>
        </w:rPr>
        <w:t xml:space="preserve">Reference:</w:t>
      </w:r>
      <w:r>
        <w:t xml:space="preserve"> </w:t>
      </w:r>
      <w:r>
        <w:t xml:space="preserve">Please cite Invoice No. MSD-2025-00847 in the payment reference field.</w:t>
      </w:r>
    </w:p>
    <w:p>
      <w:pPr>
        <w:pStyle w:val="BodyText"/>
      </w:pPr>
      <w:r>
        <w:rPr>
          <w:bCs/>
          <w:b/>
        </w:rPr>
        <w:t xml:space="preserve">Payment Terms:</w:t>
      </w:r>
      <w:r>
        <w:t xml:space="preserve"> </w:t>
      </w:r>
      <w:r>
        <w:t xml:space="preserve">Net 15 days from the issue date. Late payments are subject to a 2% monthly interest charge as per Turkish commercial law (Türk Ticaret Kanunu, Article 30).</w:t>
      </w:r>
    </w:p>
    <w:bookmarkEnd w:id="24"/>
    <w:bookmarkStart w:id="25" w:name="important-notes-regarding-this-invoice"/>
    <w:p>
      <w:pPr>
        <w:pStyle w:val="Heading3"/>
      </w:pPr>
      <w:r>
        <w:t xml:space="preserve">Important Notes Regarding This Invoice</w:t>
      </w:r>
    </w:p>
    <w:p>
      <w:pPr>
        <w:pStyle w:val="FirstParagraph"/>
      </w:pPr>
      <w:r>
        <w:t xml:space="preserve">1. This Invoice covers all Editor services rendered by Meridian Digital Solutions Ltd. to Bosphorus Media Group A.Ş. during the service period specified above. All work was performed in accordance with the Master Service Agreement dated 01 January 2025.</w:t>
      </w:r>
    </w:p>
    <w:p>
      <w:pPr>
        <w:pStyle w:val="BodyText"/>
      </w:pPr>
      <w:r>
        <w:t xml:space="preserve">2. The Editor Pro Suite software licenses (Ref 03) are non-transferable and are registered to the client's Turkey Istanbul office address. Any relocation of the Editor workstations to a different city or country requires a separate licensing agreement and additional fees.</w:t>
      </w:r>
    </w:p>
    <w:p>
      <w:pPr>
        <w:pStyle w:val="BodyText"/>
      </w:pPr>
      <w:r>
        <w:t xml:space="preserve">3. All Editor personnel assigned to this engagement are employees or contracted freelancers of Meridian Digital Solutions Ltd. and are subject to Turkish labor law. The client is not responsible for any employment-related obligations.</w:t>
      </w:r>
    </w:p>
    <w:p>
      <w:pPr>
        <w:pStyle w:val="BodyText"/>
      </w:pPr>
      <w:r>
        <w:t xml:space="preserve">4. This Invoice is issued in accordance with the Turkish Accounting Law (6102 sayılı Türk Ticaret Kanunu) and the relevant regulations of the Turkish Revenue Administration (Gelir İdaresi Başkanlığı). A duplicate copy of this Invoice may be requested by contacting our billing department.</w:t>
      </w:r>
    </w:p>
    <w:p>
      <w:pPr>
        <w:pStyle w:val="BodyText"/>
      </w:pPr>
      <w:r>
        <w:t xml:space="preserve">5. The Editor training workshop (Ref 04) was conducted in Turkish and English. All training materials, including Editor Pro Suite user manuals and workflow documentation, have been delivered in both languages to the client's designated representative in Turkey Istanbul.</w:t>
      </w:r>
    </w:p>
    <w:p>
      <w:pPr>
        <w:pStyle w:val="BodyText"/>
      </w:pPr>
      <w:r>
        <w:t xml:space="preserve">6. Should any dispute arise regarding the services described in this Invoice, both parties agree to resolve the matter through arbitration in Istanbul, Turkey, in accordance with the rules of the Istanbul Arbitration Centre (ISTAC).</w:t>
      </w:r>
    </w:p>
    <w:bookmarkEnd w:id="25"/>
    <w:p>
      <w:pPr>
        <w:pStyle w:val="BodyText"/>
      </w:pPr>
      <w:r>
        <w:rPr>
          <w:bCs/>
          <w:b/>
        </w:rPr>
        <w:t xml:space="preserve">Meridian Digital Solutions Ltd.</w:t>
      </w:r>
      <w:r>
        <w:t xml:space="preserve"> </w:t>
      </w:r>
      <w:r>
        <w:t xml:space="preserve">– Registered in the Istanbul Trade Registry, File No. 2019/45678</w:t>
      </w:r>
    </w:p>
    <w:p>
      <w:pPr>
        <w:pStyle w:val="BodyText"/>
      </w:pPr>
      <w:r>
        <w:t xml:space="preserve">This Invoice was generated electronically and is valid without a physical signature per Turkish e-invoicing regulations (e-Fatura).</w:t>
      </w:r>
    </w:p>
    <w:p>
      <w:pPr>
        <w:pStyle w:val="BodyText"/>
      </w:pPr>
      <w:r>
        <w:t xml:space="preserve">For queries regarding this Invoice, please contact: billing@meridiandigital.com.tr | +90 212 555 0147</w:t>
      </w:r>
    </w:p>
    <w:p>
      <w:pPr>
        <w:pStyle w:val="BodyText"/>
      </w:pPr>
      <w:r>
        <w:t xml:space="preserve">© 2025 Meridian Digital Solutions Ltd. All rights reserved. Invoice MSD-2025-00847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Turkey Istanbul</dc:title>
  <dc:creator/>
  <dc:language>en</dc:language>
  <cp:keywords/>
  <dcterms:created xsi:type="dcterms:W3CDTF">2026-10-10T01:15:47Z</dcterms:created>
  <dcterms:modified xsi:type="dcterms:W3CDTF">2026-10-10T01:15:47Z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