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invoice"/>
    <w:p>
      <w:pPr>
        <w:pStyle w:val="Heading1"/>
      </w:pPr>
      <w:r>
        <w:t xml:space="preserve">INVOICE</w:t>
      </w:r>
    </w:p>
    <w:p>
      <w:pPr>
        <w:pStyle w:val="FirstParagraph"/>
      </w:pPr>
      <w:r>
        <w:t xml:space="preserve">Professional Editorial Services — United States Miami</w:t>
      </w:r>
    </w:p>
    <w:p>
      <w:pPr>
        <w:pStyle w:val="BodyText"/>
      </w:pPr>
      <w:r>
        <w:t xml:space="preserve">INVOICE NO. MIA-2025-04782</w:t>
      </w:r>
    </w:p>
    <w:bookmarkEnd w:id="20"/>
    <w:bookmarkStart w:id="21" w:name="from-editor-service-provider"/>
    <w:p>
      <w:pPr>
        <w:pStyle w:val="Heading3"/>
      </w:pPr>
      <w:r>
        <w:t xml:space="preserve">From (Editor / Service Provider)</w:t>
      </w:r>
    </w:p>
    <w:p>
      <w:pPr>
        <w:pStyle w:val="FirstParagraph"/>
      </w:pPr>
      <w:r>
        <w:rPr>
          <w:bCs/>
          <w:b/>
        </w:rPr>
        <w:t xml:space="preserve">Miami Editorial Studio LLC</w:t>
      </w:r>
    </w:p>
    <w:p>
      <w:pPr>
        <w:pStyle w:val="BodyText"/>
      </w:pPr>
      <w:r>
        <w:t xml:space="preserve">1200 Brickell Avenue, Suite 2400</w:t>
      </w:r>
    </w:p>
    <w:p>
      <w:pPr>
        <w:pStyle w:val="BodyText"/>
      </w:pPr>
      <w:r>
        <w:t xml:space="preserve">Miami, Florida 33131</w:t>
      </w:r>
    </w:p>
    <w:p>
      <w:pPr>
        <w:pStyle w:val="BodyText"/>
      </w:pPr>
      <w:r>
        <w:t xml:space="preserve">United States Miami Metropolitan Area</w:t>
      </w:r>
    </w:p>
    <w:p>
      <w:pPr>
        <w:pStyle w:val="BodyText"/>
      </w:pPr>
      <w:r>
        <w:t xml:space="preserve">Tel: +1 (305) 555-0192</w:t>
      </w:r>
    </w:p>
    <w:p>
      <w:pPr>
        <w:pStyle w:val="BodyText"/>
      </w:pPr>
      <w:r>
        <w:t xml:space="preserve">Email: billing@miamieditorialstudio.com</w:t>
      </w:r>
    </w:p>
    <w:p>
      <w:pPr>
        <w:pStyle w:val="BodyText"/>
      </w:pPr>
      <w:r>
        <w:t xml:space="preserve">EIN: 82-4471903</w:t>
      </w:r>
    </w:p>
    <w:bookmarkEnd w:id="21"/>
    <w:bookmarkStart w:id="22" w:name="bill-to-client"/>
    <w:p>
      <w:pPr>
        <w:pStyle w:val="Heading3"/>
      </w:pPr>
      <w:r>
        <w:t xml:space="preserve">Bill To (Client)</w:t>
      </w:r>
    </w:p>
    <w:p>
      <w:pPr>
        <w:pStyle w:val="FirstParagraph"/>
      </w:pPr>
      <w:r>
        <w:rPr>
          <w:bCs/>
          <w:b/>
        </w:rPr>
        <w:t xml:space="preserve">Atlantic Media Group Inc.</w:t>
      </w:r>
    </w:p>
    <w:p>
      <w:pPr>
        <w:pStyle w:val="BodyText"/>
      </w:pPr>
      <w:r>
        <w:t xml:space="preserve">8901 Biscayne Boulevard</w:t>
      </w:r>
    </w:p>
    <w:p>
      <w:pPr>
        <w:pStyle w:val="BodyText"/>
      </w:pPr>
      <w:r>
        <w:t xml:space="preserve">Miami, Florida 33138</w:t>
      </w:r>
    </w:p>
    <w:p>
      <w:pPr>
        <w:pStyle w:val="BodyText"/>
      </w:pPr>
      <w:r>
        <w:t xml:space="preserve">United States Miami</w:t>
      </w:r>
    </w:p>
    <w:p>
      <w:pPr>
        <w:pStyle w:val="BodyText"/>
      </w:pPr>
      <w:r>
        <w:t xml:space="preserve">Attn: Mr. David Reynolds, VP of Content</w:t>
      </w:r>
    </w:p>
    <w:p>
      <w:pPr>
        <w:pStyle w:val="BodyText"/>
      </w:pPr>
      <w:r>
        <w:t xml:space="preserve">Tel: +1 (305) 555-0347</w:t>
      </w:r>
    </w:p>
    <w:p>
      <w:pPr>
        <w:pStyle w:val="BodyText"/>
      </w:pPr>
      <w:r>
        <w:t xml:space="preserve">Email: d.reynolds@atlanticmedia.com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Date:</w:t>
            </w:r>
          </w:p>
        </w:tc>
        <w:tc>
          <w:tcPr/>
          <w:p>
            <w:pPr>
              <w:pStyle w:val="Compact"/>
              <w:jc w:val="left"/>
            </w:pPr>
            <w:r>
              <w:t xml:space="preserve">June 12, 2025</w:t>
            </w:r>
          </w:p>
        </w:tc>
      </w:tr>
      <w:tr>
        <w:tc>
          <w:tcPr/>
          <w:p>
            <w:pPr>
              <w:pStyle w:val="Compact"/>
              <w:jc w:val="left"/>
            </w:pPr>
            <w:r>
              <w:t xml:space="preserve">Due Date:</w:t>
            </w:r>
          </w:p>
        </w:tc>
        <w:tc>
          <w:tcPr/>
          <w:p>
            <w:pPr>
              <w:pStyle w:val="Compact"/>
              <w:jc w:val="left"/>
            </w:pPr>
            <w:r>
              <w:t xml:space="preserve">July 12, 2025 (Net 30)</w:t>
            </w:r>
          </w:p>
        </w:tc>
      </w:tr>
      <w:tr>
        <w:tc>
          <w:tcPr/>
          <w:p>
            <w:pPr>
              <w:pStyle w:val="Compact"/>
              <w:jc w:val="left"/>
            </w:pPr>
            <w:r>
              <w:t xml:space="preserve">Service Period:</w:t>
            </w:r>
          </w:p>
        </w:tc>
        <w:tc>
          <w:tcPr/>
          <w:p>
            <w:pPr>
              <w:pStyle w:val="Compact"/>
              <w:jc w:val="left"/>
            </w:pPr>
            <w:r>
              <w:t xml:space="preserve">May 1, 2025 – May 31, 2025</w:t>
            </w:r>
          </w:p>
        </w:tc>
      </w:tr>
      <w:tr>
        <w:tc>
          <w:tcPr/>
          <w:p>
            <w:pPr>
              <w:pStyle w:val="Compact"/>
              <w:jc w:val="left"/>
            </w:pPr>
            <w:r>
              <w:t xml:space="preserve">Project Reference:</w:t>
            </w:r>
          </w:p>
        </w:tc>
        <w:tc>
          <w:tcPr/>
          <w:p>
            <w:pPr>
              <w:pStyle w:val="Compact"/>
              <w:jc w:val="left"/>
            </w:pPr>
            <w:r>
              <w:t xml:space="preserve">AMG-Q2-Editorial-Revamp</w:t>
            </w:r>
          </w:p>
        </w:tc>
      </w:tr>
      <w:tr>
        <w:tc>
          <w:tcPr/>
          <w:p>
            <w:pPr>
              <w:pStyle w:val="Compact"/>
              <w:jc w:val="left"/>
            </w:pPr>
            <w:r>
              <w:t xml:space="preserve">Payment Method:</w:t>
            </w:r>
          </w:p>
        </w:tc>
        <w:tc>
          <w:tcPr/>
          <w:p>
            <w:pPr>
              <w:pStyle w:val="Compact"/>
              <w:jc w:val="left"/>
            </w:pPr>
            <w:r>
              <w:t xml:space="preserve">Wire Transfer / ACH to Miami Editorial Studio LLC</w:t>
            </w:r>
          </w:p>
        </w:tc>
      </w:tr>
      <w:tr>
        <w:tc>
          <w:tcPr/>
          <w:p>
            <w:pPr>
              <w:pStyle w:val="Compact"/>
              <w:jc w:val="left"/>
            </w:pPr>
            <w:r>
              <w:t xml:space="preserve">Location of Service:</w:t>
            </w:r>
          </w:p>
        </w:tc>
        <w:tc>
          <w:tcPr/>
          <w:p>
            <w:pPr>
              <w:pStyle w:val="Compact"/>
              <w:jc w:val="left"/>
            </w:pPr>
            <w:r>
              <w:t xml:space="preserve">United States Miami, Florida</w:t>
            </w:r>
          </w:p>
        </w:tc>
      </w:tr>
    </w:tbl>
    <w:bookmarkStart w:id="24" w:name="line-items-editor-services-rendered"/>
    <w:p>
      <w:pPr>
        <w:pStyle w:val="Heading2"/>
      </w:pPr>
      <w:r>
        <w:t xml:space="preserve">Line Items — Editor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Editor — Full manuscript copyediting and developmental editing of the 240-page corporate annual report. The Editor performed structural analysis, tone consistency review, and grammatical correction across all chapters.</w:t>
            </w:r>
          </w:p>
        </w:tc>
        <w:tc>
          <w:tcPr/>
          <w:p>
            <w:pPr>
              <w:pStyle w:val="Compact"/>
              <w:jc w:val="left"/>
            </w:pPr>
            <w:r>
              <w:t xml:space="preserve">68 hrs</w:t>
            </w:r>
          </w:p>
        </w:tc>
        <w:tc>
          <w:tcPr/>
          <w:p>
            <w:pPr>
              <w:pStyle w:val="Compact"/>
              <w:jc w:val="left"/>
            </w:pPr>
            <w:r>
              <w:t xml:space="preserve">$95.00</w:t>
            </w:r>
          </w:p>
        </w:tc>
        <w:tc>
          <w:tcPr/>
          <w:p>
            <w:pPr>
              <w:pStyle w:val="Compact"/>
              <w:jc w:val="left"/>
            </w:pPr>
            <w:r>
              <w:t xml:space="preserve">$6,460.00</w:t>
            </w:r>
          </w:p>
        </w:tc>
      </w:tr>
      <w:tr>
        <w:tc>
          <w:tcPr/>
          <w:p>
            <w:pPr>
              <w:pStyle w:val="Compact"/>
              <w:jc w:val="left"/>
            </w:pPr>
            <w:r>
              <w:t xml:space="preserve">2</w:t>
            </w:r>
          </w:p>
        </w:tc>
        <w:tc>
          <w:tcPr/>
          <w:p>
            <w:pPr>
              <w:pStyle w:val="Compact"/>
              <w:jc w:val="left"/>
            </w:pPr>
            <w:r>
              <w:t xml:space="preserve">Technical Editor — Review and revision of 45 engineering white papers for the Q2 product launch. The Editor ensured technical accuracy, standardized terminology, and compliance with IEEE formatting guidelines.</w:t>
            </w:r>
          </w:p>
        </w:tc>
        <w:tc>
          <w:tcPr/>
          <w:p>
            <w:pPr>
              <w:pStyle w:val="Compact"/>
              <w:jc w:val="left"/>
            </w:pPr>
            <w:r>
              <w:t xml:space="preserve">52 hrs</w:t>
            </w:r>
          </w:p>
        </w:tc>
        <w:tc>
          <w:tcPr/>
          <w:p>
            <w:pPr>
              <w:pStyle w:val="Compact"/>
              <w:jc w:val="left"/>
            </w:pPr>
            <w:r>
              <w:t xml:space="preserve">$110.00</w:t>
            </w:r>
          </w:p>
        </w:tc>
        <w:tc>
          <w:tcPr/>
          <w:p>
            <w:pPr>
              <w:pStyle w:val="Compact"/>
              <w:jc w:val="left"/>
            </w:pPr>
            <w:r>
              <w:t xml:space="preserve">$5,720.00</w:t>
            </w:r>
          </w:p>
        </w:tc>
      </w:tr>
      <w:tr>
        <w:tc>
          <w:tcPr/>
          <w:p>
            <w:pPr>
              <w:pStyle w:val="Compact"/>
              <w:jc w:val="left"/>
            </w:pPr>
            <w:r>
              <w:t xml:space="preserve">3</w:t>
            </w:r>
          </w:p>
        </w:tc>
        <w:tc>
          <w:tcPr/>
          <w:p>
            <w:pPr>
              <w:pStyle w:val="Compact"/>
              <w:jc w:val="left"/>
            </w:pPr>
            <w:r>
              <w:t xml:space="preserve">Content Editor — Editing of 120 marketing blog articles and 30 social media campaign scripts. The Editor refined messaging, improved readability scores, and aligned all copy with the Atlantic Media brand voice established in the United States Miami market.</w:t>
            </w:r>
          </w:p>
        </w:tc>
        <w:tc>
          <w:tcPr/>
          <w:p>
            <w:pPr>
              <w:pStyle w:val="Compact"/>
              <w:jc w:val="left"/>
            </w:pPr>
            <w:r>
              <w:t xml:space="preserve">44 hrs</w:t>
            </w:r>
          </w:p>
        </w:tc>
        <w:tc>
          <w:tcPr/>
          <w:p>
            <w:pPr>
              <w:pStyle w:val="Compact"/>
              <w:jc w:val="left"/>
            </w:pPr>
            <w:r>
              <w:t xml:space="preserve">$85.00</w:t>
            </w:r>
          </w:p>
        </w:tc>
        <w:tc>
          <w:tcPr/>
          <w:p>
            <w:pPr>
              <w:pStyle w:val="Compact"/>
              <w:jc w:val="left"/>
            </w:pPr>
            <w:r>
              <w:t xml:space="preserve">$3,740.00</w:t>
            </w:r>
          </w:p>
        </w:tc>
      </w:tr>
      <w:tr>
        <w:tc>
          <w:tcPr/>
          <w:p>
            <w:pPr>
              <w:pStyle w:val="Compact"/>
              <w:jc w:val="left"/>
            </w:pPr>
            <w:r>
              <w:t xml:space="preserve">4</w:t>
            </w:r>
          </w:p>
        </w:tc>
        <w:tc>
          <w:tcPr/>
          <w:p>
            <w:pPr>
              <w:pStyle w:val="Compact"/>
              <w:jc w:val="left"/>
            </w:pPr>
            <w:r>
              <w:t xml:space="preserve">Video Editor — Post-production editing of 8 promotional video reels (total runtime 96 minutes) for the Atlantic Media Group's digital advertising campaign. The Editor handled timeline assembly, color grading, audio mixing, and subtitle localization.</w:t>
            </w:r>
          </w:p>
        </w:tc>
        <w:tc>
          <w:tcPr/>
          <w:p>
            <w:pPr>
              <w:pStyle w:val="Compact"/>
              <w:jc w:val="left"/>
            </w:pPr>
            <w:r>
              <w:t xml:space="preserve">36 hrs</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5</w:t>
            </w:r>
          </w:p>
        </w:tc>
        <w:tc>
          <w:tcPr/>
          <w:p>
            <w:pPr>
              <w:pStyle w:val="Compact"/>
              <w:jc w:val="left"/>
            </w:pPr>
            <w:r>
              <w:t xml:space="preserve">Editorial Project Management — Coordination of a 12-person editorial team, scheduling of review cycles, quality assurance passes, and final proofreading before print and digital distribution. Managed entirely from the United States Miami office.</w:t>
            </w:r>
          </w:p>
        </w:tc>
        <w:tc>
          <w:tcPr/>
          <w:p>
            <w:pPr>
              <w:pStyle w:val="Compact"/>
              <w:jc w:val="left"/>
            </w:pPr>
            <w:r>
              <w:t xml:space="preserve">24 hrs</w:t>
            </w:r>
          </w:p>
        </w:tc>
        <w:tc>
          <w:tcPr/>
          <w:p>
            <w:pPr>
              <w:pStyle w:val="Compact"/>
              <w:jc w:val="left"/>
            </w:pPr>
            <w:r>
              <w:t xml:space="preserve">$105.00</w:t>
            </w:r>
          </w:p>
        </w:tc>
        <w:tc>
          <w:tcPr/>
          <w:p>
            <w:pPr>
              <w:pStyle w:val="Compact"/>
              <w:jc w:val="left"/>
            </w:pPr>
            <w:r>
              <w:t xml:space="preserve">$2,520.00</w:t>
            </w:r>
          </w:p>
        </w:tc>
      </w:tr>
      <w:tr>
        <w:tc>
          <w:tcPr/>
          <w:p>
            <w:pPr>
              <w:pStyle w:val="Compact"/>
              <w:jc w:val="left"/>
            </w:pPr>
            <w:r>
              <w:t xml:space="preserve">6</w:t>
            </w:r>
          </w:p>
        </w:tc>
        <w:tc>
          <w:tcPr/>
          <w:p>
            <w:pPr>
              <w:pStyle w:val="Compact"/>
              <w:jc w:val="left"/>
            </w:pPr>
            <w:r>
              <w:t xml:space="preserve">Translation &amp; Localization Editor — Bilingual (English/Spanish) editorial oversight of 30 translated documents for the Hispanic market segment in the United States Miami region. The Editor verified cultural appropriateness and linguistic fidelity.</w:t>
            </w:r>
          </w:p>
        </w:tc>
        <w:tc>
          <w:tcPr/>
          <w:p>
            <w:pPr>
              <w:pStyle w:val="Compact"/>
              <w:jc w:val="left"/>
            </w:pPr>
            <w:r>
              <w:t xml:space="preserve">28 hrs</w:t>
            </w:r>
          </w:p>
        </w:tc>
        <w:tc>
          <w:tcPr/>
          <w:p>
            <w:pPr>
              <w:pStyle w:val="Compact"/>
              <w:jc w:val="left"/>
            </w:pPr>
            <w:r>
              <w:t xml:space="preserve">$100.00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$25,560.00</w:t>
            </w:r>
          </w:p>
        </w:tc>
      </w:tr>
      <w:tr>
        <w:tc>
          <w:tcPr/>
          <w:p>
            <w:pPr>
              <w:pStyle w:val="Compact"/>
              <w:jc w:val="left"/>
            </w:pPr>
            <w:r>
              <w:t xml:space="preserve">Florida State Sales Tax (7.0%)</w:t>
            </w:r>
          </w:p>
        </w:tc>
        <w:tc>
          <w:tcPr/>
          <w:p>
            <w:pPr>
              <w:pStyle w:val="Compact"/>
              <w:jc w:val="right"/>
            </w:pPr>
            <w:r>
              <w:t xml:space="preserve">$1,789.20</w:t>
            </w:r>
          </w:p>
        </w:tc>
      </w:tr>
      <w:tr>
        <w:tc>
          <w:tcPr/>
          <w:p>
            <w:pPr>
              <w:pStyle w:val="Compact"/>
              <w:jc w:val="left"/>
            </w:pPr>
            <w:r>
              <w:t xml:space="preserve">Miami-Dade County Surcharge (0.5%)</w:t>
            </w:r>
          </w:p>
        </w:tc>
        <w:tc>
          <w:tcPr/>
          <w:p>
            <w:pPr>
              <w:pStyle w:val="Compact"/>
              <w:jc w:val="right"/>
            </w:pPr>
            <w:r>
              <w:t xml:space="preserve">$127.80</w:t>
            </w:r>
          </w:p>
        </w:tc>
      </w:tr>
      <w:tr>
        <w:tc>
          <w:tcPr/>
          <w:p>
            <w:pPr>
              <w:pStyle w:val="Compact"/>
              <w:jc w:val="left"/>
            </w:pPr>
            <w:r>
              <w:t xml:space="preserve">Expedited Delivery Surcharge</w:t>
            </w:r>
          </w:p>
        </w:tc>
        <w:tc>
          <w:tcPr/>
          <w:p>
            <w:pPr>
              <w:pStyle w:val="Compact"/>
              <w:jc w:val="right"/>
            </w:pPr>
            <w:r>
              <w:t xml:space="preserve">$350.00</w:t>
            </w:r>
          </w:p>
        </w:tc>
      </w:tr>
      <w:tr>
        <w:tc>
          <w:tcPr/>
          <w:p>
            <w:pPr>
              <w:pStyle w:val="Compact"/>
              <w:jc w:val="left"/>
            </w:pPr>
            <w:r>
              <w:t xml:space="preserve">TOTAL DUE (USD)</w:t>
            </w:r>
          </w:p>
        </w:tc>
        <w:tc>
          <w:tcPr/>
          <w:p>
            <w:pPr>
              <w:pStyle w:val="Compact"/>
              <w:jc w:val="right"/>
            </w:pPr>
            <w:r>
              <w:t xml:space="preserve">$27,827.00</w:t>
            </w:r>
          </w:p>
        </w:tc>
      </w:tr>
    </w:tbl>
    <w:bookmarkStart w:id="23" w:name="Xcadc29885ad1f673e42265b0686b51fc4487c85"/>
    <w:p>
      <w:pPr>
        <w:pStyle w:val="Heading3"/>
      </w:pPr>
      <w:r>
        <w:t xml:space="preserve">Terms, Conditions &amp; Notes Regarding This Invoice</w:t>
      </w:r>
    </w:p>
    <w:p>
      <w:pPr>
        <w:pStyle w:val="FirstParagraph"/>
      </w:pPr>
      <w:r>
        <w:t xml:space="preserve">This Invoice is issued by Miami Editorial Studio LLC, a Florida-registered limited liability company operating in the United States Miami metropolitan area. All Editor services described herein were performed in accordance with the Master Service Agreement (MSA) dated March 1, 2025, between the parties. The Editor services encompass copyediting, developmental editing, technical editing, video post-production, editorial project management, and bilingual localization as itemized above.</w:t>
      </w:r>
    </w:p>
    <w:p>
      <w:pPr>
        <w:numPr>
          <w:ilvl w:val="0"/>
          <w:numId w:val="1001"/>
        </w:numPr>
        <w:pStyle w:val="Compact"/>
      </w:pPr>
      <w:r>
        <w:rPr>
          <w:bCs/>
          <w:b/>
        </w:rPr>
        <w:t xml:space="preserve">Payment Terms:</w:t>
      </w:r>
      <w:r>
        <w:t xml:space="preserve"> </w:t>
      </w:r>
      <w:r>
        <w:t xml:space="preserve">Payment of the full Invoice amount of $27,827.00 USD is due within thirty (30) calendar days of the Invoice date. Late payments shall accrue interest at a rate of 1.5% per month or the maximum rate permitted under Florida state law, whichever is lower.</w:t>
      </w:r>
    </w:p>
    <w:p>
      <w:pPr>
        <w:numPr>
          <w:ilvl w:val="0"/>
          <w:numId w:val="1001"/>
        </w:numPr>
        <w:pStyle w:val="Compact"/>
      </w:pPr>
      <w:r>
        <w:rPr>
          <w:bCs/>
          <w:b/>
        </w:rPr>
        <w:t xml:space="preserve">Payment Instructions:</w:t>
      </w:r>
      <w:r>
        <w:t xml:space="preserve"> </w:t>
      </w:r>
      <w:r>
        <w:t xml:space="preserve">Please remit payment via ACH wire transfer to Miami Editorial Studio LLC, Bank of America, Account No. 4471-903-2281, Routing No. 026009593, Reference: Invoice MIA-2025-04782. Checks may be mailed to the United States Miami address listed above.</w:t>
      </w:r>
    </w:p>
    <w:p>
      <w:pPr>
        <w:numPr>
          <w:ilvl w:val="0"/>
          <w:numId w:val="1001"/>
        </w:numPr>
        <w:pStyle w:val="Compact"/>
      </w:pPr>
      <w:r>
        <w:rPr>
          <w:bCs/>
          <w:b/>
        </w:rPr>
        <w:t xml:space="preserve">Editor Deliverables:</w:t>
      </w:r>
      <w:r>
        <w:t xml:space="preserve"> </w:t>
      </w:r>
      <w:r>
        <w:t xml:space="preserve">All final edited manuscripts, video files, and localized documents have been delivered to the client's secure portal on May 30, 2025. The Editor retains no copies of client source materials beyond the project completion date unless otherwise agreed in writing.</w:t>
      </w:r>
    </w:p>
    <w:p>
      <w:pPr>
        <w:numPr>
          <w:ilvl w:val="0"/>
          <w:numId w:val="1001"/>
        </w:numPr>
        <w:pStyle w:val="Compact"/>
      </w:pPr>
      <w:r>
        <w:rPr>
          <w:bCs/>
          <w:b/>
        </w:rPr>
        <w:t xml:space="preserve">Revisions:</w:t>
      </w:r>
      <w:r>
        <w:t xml:space="preserve"> </w:t>
      </w:r>
      <w:r>
        <w:t xml:space="preserve">This Invoice covers one (1) round of revisions per deliverable. Additional revision requests beyond the agreed scope will be billed at the applicable Editor hourly rate and invoiced separately.</w:t>
      </w:r>
    </w:p>
    <w:p>
      <w:pPr>
        <w:numPr>
          <w:ilvl w:val="0"/>
          <w:numId w:val="1001"/>
        </w:numPr>
        <w:pStyle w:val="Compact"/>
      </w:pPr>
      <w:r>
        <w:rPr>
          <w:bCs/>
          <w:b/>
        </w:rPr>
        <w:t xml:space="preserve">Confidentiality:</w:t>
      </w:r>
      <w:r>
        <w:t xml:space="preserve"> </w:t>
      </w:r>
      <w:r>
        <w:t xml:space="preserve">The Editor and all editorial team members are bound by the Non-Disclosure Agreement (NDA) executed on March 1, 2025. All materials processed in the United States Miami facility are handled in strict accordance with the confidentiality provisions therein.</w:t>
      </w:r>
    </w:p>
    <w:p>
      <w:pPr>
        <w:numPr>
          <w:ilvl w:val="0"/>
          <w:numId w:val="1001"/>
        </w:numPr>
        <w:pStyle w:val="Compact"/>
      </w:pPr>
      <w:r>
        <w:rPr>
          <w:bCs/>
          <w:b/>
        </w:rPr>
        <w:t xml:space="preserve">Dispute Resolution:</w:t>
      </w:r>
      <w:r>
        <w:t xml:space="preserve"> </w:t>
      </w:r>
      <w:r>
        <w:t xml:space="preserve">Any disputes arising from this Invoice or the underlying Editor services shall be resolved through binding arbitration in Miami-Dade County, Florida, United States, in accordance with the rules of the American Arbitration Association.</w:t>
      </w:r>
    </w:p>
    <w:p>
      <w:pPr>
        <w:numPr>
          <w:ilvl w:val="0"/>
          <w:numId w:val="1001"/>
        </w:numPr>
        <w:pStyle w:val="Compact"/>
      </w:pPr>
      <w:r>
        <w:rPr>
          <w:bCs/>
          <w:b/>
        </w:rPr>
        <w:t xml:space="preserve">Tax Compliance:</w:t>
      </w:r>
      <w:r>
        <w:t xml:space="preserve"> </w:t>
      </w:r>
      <w:r>
        <w:t xml:space="preserve">All applicable taxes, including Florida state sales tax and Miami-Dade County surcharges, have been calculated and included in this Invoice. The client is responsible for any additional federal tax obligations.</w:t>
      </w:r>
    </w:p>
    <w:p>
      <w:pPr>
        <w:numPr>
          <w:ilvl w:val="0"/>
          <w:numId w:val="1001"/>
        </w:numPr>
        <w:pStyle w:val="Compact"/>
      </w:pPr>
      <w:r>
        <w:rPr>
          <w:bCs/>
          <w:b/>
        </w:rPr>
        <w:t xml:space="preserve">Invoice Validity:</w:t>
      </w:r>
      <w:r>
        <w:t xml:space="preserve"> </w:t>
      </w:r>
      <w:r>
        <w:t xml:space="preserve">This Invoice is valid for ninety (90) days from the date of issue. After this period, the Editor reserves the right to reissue the Invoice with updated tax calculations and any applicable late fees.</w:t>
      </w:r>
    </w:p>
    <w:p>
      <w:pPr>
        <w:pStyle w:val="FirstParagraph"/>
      </w:pPr>
      <w:r>
        <w:t xml:space="preserve">We thank Atlantic Media Group Inc. for entrusting Miami Editorial Studio LLC with their editorial needs. Our team of dedicated Editor professionals in United States Miami is committed to delivering the highest standard of editorial excellence. Should you have any questions regarding this Invoice or the Editor services rendered, please contact our billing department at billing@miamieditorialstudio.com or call +1 (305) 555-0192 during business hours (Monday through Friday, 9:00 AM to 6:00 PM EST).</w:t>
      </w:r>
    </w:p>
    <w:bookmarkEnd w:id="23"/>
    <w:p>
      <w:pPr>
        <w:pStyle w:val="BodyText"/>
      </w:pPr>
      <w:r>
        <w:rPr>
          <w:bCs/>
          <w:b/>
        </w:rPr>
        <w:t xml:space="preserve">Miami Editorial Studio LLC</w:t>
      </w:r>
      <w:r>
        <w:t xml:space="preserve"> </w:t>
      </w:r>
      <w:r>
        <w:t xml:space="preserve">— 1200 Brickell Avenue, Suite 2400, Miami, FL 33131, United States Miami</w:t>
      </w:r>
    </w:p>
    <w:p>
      <w:pPr>
        <w:pStyle w:val="BodyText"/>
      </w:pPr>
      <w:r>
        <w:t xml:space="preserve">Invoice MIA-2025-04782 • Generated on June 12, 2025 • Page 1 of 1</w:t>
      </w:r>
    </w:p>
    <w:p>
      <w:pPr>
        <w:pStyle w:val="BodyText"/>
      </w:pPr>
      <w:r>
        <w:t xml:space="preserve">This is a computer-generated Invoice and does not require a signature. All Editor services are governed by Florida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United States Miami</dc:title>
  <dc:creator/>
  <dc:language>en</dc:language>
  <cp:keywords/>
  <dcterms:created xsi:type="dcterms:W3CDTF">2026-10-10T01:06:28Z</dcterms:created>
  <dcterms:modified xsi:type="dcterms:W3CDTF">2026-10-10T01:06:28Z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